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00856">
      <w:pPr>
        <w:spacing w:after="40"/>
        <w:jc w:val="center"/>
      </w:pPr>
      <w:r>
        <w:rPr>
          <w:b/>
          <w:bCs/>
        </w:rPr>
        <w:t>REPUBLIKA HRVATSKA</w:t>
      </w:r>
    </w:p>
    <w:p w14:paraId="3A2CD02A">
      <w:pPr>
        <w:spacing w:after="40"/>
        <w:jc w:val="center"/>
      </w:pPr>
      <w:r>
        <w:rPr>
          <w:b/>
          <w:bCs/>
        </w:rPr>
        <w:t>SPLITSKO-DALMATINSKA ŽUPANIJA</w:t>
      </w:r>
    </w:p>
    <w:p w14:paraId="643ABE16">
      <w:pPr>
        <w:spacing w:after="240"/>
        <w:jc w:val="center"/>
      </w:pPr>
      <w:r>
        <w:rPr>
          <w:b/>
          <w:bCs/>
        </w:rPr>
        <w:t>OPĆINA ŠESTANOVAC</w:t>
      </w:r>
    </w:p>
    <w:p w14:paraId="3C9B423C">
      <w:pPr>
        <w:spacing w:before="200" w:after="80"/>
        <w:jc w:val="center"/>
      </w:pPr>
      <w:r>
        <w:rPr>
          <w:b/>
          <w:bCs/>
          <w:color w:val="1F4E5F"/>
          <w:sz w:val="40"/>
          <w:szCs w:val="40"/>
        </w:rPr>
        <w:t>OBRAZLOŽENJE</w:t>
      </w:r>
    </w:p>
    <w:p w14:paraId="2B48D562">
      <w:pPr>
        <w:spacing w:after="80"/>
        <w:jc w:val="center"/>
      </w:pPr>
      <w:r>
        <w:rPr>
          <w:b/>
          <w:bCs/>
          <w:sz w:val="28"/>
          <w:szCs w:val="28"/>
        </w:rPr>
        <w:t>POLUGODIŠNJEG IZVJEŠTAJA O IZVRŠENJU PRORAČUNA</w:t>
      </w:r>
    </w:p>
    <w:p w14:paraId="242EE56C">
      <w:pPr>
        <w:spacing w:after="300"/>
        <w:jc w:val="center"/>
      </w:pPr>
      <w:r>
        <w:rPr>
          <w:b/>
          <w:bCs/>
          <w:sz w:val="28"/>
          <w:szCs w:val="28"/>
        </w:rPr>
        <w:t>OPĆINE ŠESTANOVAC ZA PRVO POLUGODIŠTE 2026. GODINE</w:t>
      </w:r>
    </w:p>
    <w:p w14:paraId="36242B63">
      <w:pPr>
        <w:spacing w:after="600"/>
        <w:jc w:val="center"/>
      </w:pPr>
      <w:r>
        <w:rPr>
          <w:i/>
          <w:iCs/>
        </w:rPr>
        <w:t>(razdoblje od 1. siječnja do 30. lipnja 2026. godine)</w:t>
      </w:r>
    </w:p>
    <w:p w14:paraId="24A155ED">
      <w:pPr>
        <w:spacing w:after="40"/>
        <w:jc w:val="center"/>
      </w:pPr>
      <w:r>
        <w:t>Šestanovac, srpanj 2026.</w:t>
      </w:r>
    </w:p>
    <w:p w14:paraId="5C6A1A38">
      <w:pPr>
        <w:pageBreakBefore/>
      </w:pPr>
    </w:p>
    <w:p w14:paraId="6D7CCE3A">
      <w:pPr>
        <w:spacing w:before="280" w:after="140"/>
      </w:pPr>
      <w:r>
        <w:rPr>
          <w:b/>
          <w:bCs/>
          <w:color w:val="1F4E5F"/>
          <w:sz w:val="26"/>
          <w:szCs w:val="26"/>
        </w:rPr>
        <w:t>1.  UVODNE NAPOMENE</w:t>
      </w:r>
    </w:p>
    <w:p w14:paraId="680078E2">
      <w:pPr>
        <w:spacing w:after="120" w:line="276" w:lineRule="auto"/>
        <w:jc w:val="both"/>
      </w:pPr>
      <w:r>
        <w:t>Polugodišnji izvještaj o izvršenju Proračuna Općine Šestanovac za razdoblje od 1. siječnja do 30. lipnja 2026. godine izrađen je i podnosi se sukladno odredbama Zakona o proračunu („Narodne novine“ broj 144/21) te Pravilnika o polugodišnjem i godišnjem izvještaju o izvršenju proračuna i financijskog plana (NN 85/23). Podaci se iskazuju primjenom modificiranog načela nastanka događaja u proračunskom računovodstvu.</w:t>
      </w:r>
    </w:p>
    <w:p w14:paraId="752A7301">
      <w:pPr>
        <w:spacing w:after="120" w:line="276" w:lineRule="auto"/>
        <w:jc w:val="both"/>
      </w:pPr>
      <w:r>
        <w:t>Polugodišnji izvještaj o izvršenju Proračuna Općine Šestanovac za prvih šest mjeseci 2026. godine Općinsko vijeće Općine Šestanovac razmotrilo je na sjednici održanoj 20. srpnja 2026. godine, a objavljuje se u „Službenom glasniku Općine Šestanovac“.</w:t>
      </w:r>
    </w:p>
    <w:p w14:paraId="788AE5B2">
      <w:pPr>
        <w:spacing w:after="120" w:line="276" w:lineRule="auto"/>
        <w:jc w:val="both"/>
      </w:pPr>
      <w:r>
        <w:t>Proračun Općine Šestanovac za 2026. godinu, s projekcijama za 2027. i 2028. godinu, usvojen je početkom 2026. godine, a tijekom prvoga polugodišta primjenjivao se kao temeljni okvir financiranja programa, aktivnosti i projekata Općine. Uz brojčane podatke iskazane u Općem i Posebnom dijelu izvještaja, ovim se Obrazloženjem daju objašnjenja o ostvarenju prihoda i primitaka te izvršenju rashoda i izdataka, o odstupanjima u odnosu na plan, kao i o provedbi pojedinih programa i projekata u prvom polugodištu 2026. godine.</w:t>
      </w:r>
    </w:p>
    <w:p w14:paraId="039AD315">
      <w:pPr>
        <w:spacing w:after="120" w:line="276" w:lineRule="auto"/>
        <w:jc w:val="both"/>
      </w:pPr>
      <w:r>
        <w:t>Pri tumačenju razine izvršenja potrebno je uzeti u obzir da se izvještaj odnosi na prvih šest mjeseci proračunske godine, pa je za većinu programa – osobito onih kapitalnih – dinamika realizacije koncentrirana u drugoj polovici godine, sukladno tijeku javne nabave, ishođenju dokumentacije i priljevu namjenskih sredstava.</w:t>
      </w:r>
    </w:p>
    <w:p w14:paraId="65A07204">
      <w:pPr>
        <w:spacing w:before="280" w:after="140"/>
      </w:pPr>
      <w:r>
        <w:rPr>
          <w:b/>
          <w:bCs/>
          <w:color w:val="1F4E5F"/>
          <w:sz w:val="26"/>
          <w:szCs w:val="26"/>
        </w:rPr>
        <w:t>2.  OBRAZLOŽENJE OPĆEG DIJELA IZVJEŠTAJA O IZVRŠENJU PRORAČUNA</w:t>
      </w:r>
    </w:p>
    <w:p w14:paraId="5742F5CB">
      <w:pPr>
        <w:spacing w:before="220" w:after="120"/>
      </w:pPr>
      <w:r>
        <w:rPr>
          <w:b/>
          <w:bCs/>
          <w:color w:val="1F4E5F"/>
          <w:sz w:val="24"/>
          <w:szCs w:val="24"/>
        </w:rPr>
        <w:t>2.1.  Sažetak Računa prihoda i rashoda i Računa financiranja</w:t>
      </w:r>
    </w:p>
    <w:p w14:paraId="3EDC4DA1">
      <w:pPr>
        <w:spacing w:after="120" w:line="276" w:lineRule="auto"/>
        <w:jc w:val="both"/>
      </w:pPr>
      <w:r>
        <w:t>Proračun Općine Šestanovac za prvo polugodište 2026. godine izvršen je kako slijedi (u eurima):</w:t>
      </w:r>
    </w:p>
    <w:tbl>
      <w:tblPr>
        <w:tblStyle w:val="9"/>
        <w:tblW w:w="5000" w:type="pct"/>
        <w:tblInd w:w="0" w:type="dxa"/>
        <w:tblBorders>
          <w:top w:val="single" w:color="BFCAD0" w:sz="4" w:space="0"/>
          <w:left w:val="single" w:color="BFCAD0" w:sz="4" w:space="0"/>
          <w:bottom w:val="single" w:color="BFCAD0" w:sz="4" w:space="0"/>
          <w:right w:val="single" w:color="BFCAD0" w:sz="4" w:space="0"/>
          <w:insideH w:val="single" w:color="BFCAD0" w:sz="4" w:space="0"/>
          <w:insideV w:val="single" w:color="BFCAD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48"/>
        <w:gridCol w:w="1779"/>
        <w:gridCol w:w="1779"/>
        <w:gridCol w:w="1780"/>
      </w:tblGrid>
      <w:tr w14:paraId="78A00713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3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9AEE02">
            <w:r>
              <w:rPr>
                <w:b/>
                <w:bCs/>
                <w:color w:val="FFFFFF"/>
                <w:sz w:val="20"/>
                <w:szCs w:val="20"/>
              </w:rPr>
              <w:t>Račun / opis</w:t>
            </w:r>
          </w:p>
        </w:tc>
        <w:tc>
          <w:tcPr>
            <w:tcW w:w="9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A9985E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Izvorni plan 2026.</w:t>
            </w:r>
          </w:p>
        </w:tc>
        <w:tc>
          <w:tcPr>
            <w:tcW w:w="9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473F9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Izvršenje 30.6.2026.</w:t>
            </w:r>
          </w:p>
        </w:tc>
        <w:tc>
          <w:tcPr>
            <w:tcW w:w="9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5F5DD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Indeks (%)</w:t>
            </w:r>
          </w:p>
        </w:tc>
      </w:tr>
      <w:tr w14:paraId="47339F37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3C5B6A">
            <w:r>
              <w:rPr>
                <w:b/>
                <w:bCs/>
                <w:sz w:val="20"/>
                <w:szCs w:val="20"/>
              </w:rPr>
              <w:t>6  Prihodi poslovanja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8BC08E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3.348.758,02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66F9A0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1.002.994,08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835A80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29,95 %</w:t>
            </w:r>
          </w:p>
        </w:tc>
      </w:tr>
      <w:tr w14:paraId="229EBF6B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6FDC18">
            <w:r>
              <w:rPr>
                <w:b/>
                <w:bCs/>
                <w:sz w:val="20"/>
                <w:szCs w:val="20"/>
              </w:rPr>
              <w:t>7  Prihodi od prodaje nefinancijske imovine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5B59C3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8F6DE6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1.727,19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77E526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14:paraId="10C7714D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2232D4">
            <w:r>
              <w:rPr>
                <w:b/>
                <w:bCs/>
                <w:sz w:val="20"/>
                <w:szCs w:val="20"/>
              </w:rPr>
              <w:t>UKUPNI PRIHODI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04C962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3.348.758,02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AE6A53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1.004.721,27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31D510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30,00 %</w:t>
            </w:r>
          </w:p>
        </w:tc>
      </w:tr>
      <w:tr w14:paraId="5C3326BD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524A13">
            <w:r>
              <w:rPr>
                <w:b/>
                <w:bCs/>
                <w:sz w:val="20"/>
                <w:szCs w:val="20"/>
              </w:rPr>
              <w:t>3  Rashodi poslovanja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F09019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2.439.165,00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D4D6B7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750.941,46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3DF6D5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30,79 %</w:t>
            </w:r>
          </w:p>
        </w:tc>
      </w:tr>
      <w:tr w14:paraId="3966F874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6206F0">
            <w:r>
              <w:rPr>
                <w:b/>
                <w:bCs/>
                <w:sz w:val="20"/>
                <w:szCs w:val="20"/>
              </w:rPr>
              <w:t>4  Rashodi za nabavu nefinancijske imovine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B0FCB5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1.295.170,00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DB6539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139.112,82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C721C2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10,74 %</w:t>
            </w:r>
          </w:p>
        </w:tc>
      </w:tr>
      <w:tr w14:paraId="6259139C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56400D">
            <w:r>
              <w:rPr>
                <w:b/>
                <w:bCs/>
                <w:sz w:val="20"/>
                <w:szCs w:val="20"/>
              </w:rPr>
              <w:t>UKUPNI RASHODI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E3F842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3.734.335,00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B7C507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890.054,28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0EA192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23,83 %</w:t>
            </w:r>
          </w:p>
        </w:tc>
      </w:tr>
      <w:tr w14:paraId="29956D97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524302">
            <w:r>
              <w:rPr>
                <w:b/>
                <w:bCs/>
                <w:sz w:val="20"/>
                <w:szCs w:val="20"/>
              </w:rPr>
              <w:t>VIŠAK / MANJAK (A)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E15675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-385.576,98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BE78DB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114.666,99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2F45CB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14:paraId="4AC98226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9A0276">
            <w:r>
              <w:rPr>
                <w:b/>
                <w:bCs/>
                <w:sz w:val="20"/>
                <w:szCs w:val="20"/>
              </w:rPr>
              <w:t>8  Primici od financijske imovine i zaduživanja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5D4316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E34AC8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B89F71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14:paraId="51B7ED3F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92CC50">
            <w:r>
              <w:rPr>
                <w:b/>
                <w:bCs/>
                <w:sz w:val="20"/>
                <w:szCs w:val="20"/>
              </w:rPr>
              <w:t>5  Izdaci za financijsku imovinu i otplate zajmova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B4F11B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925CB2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FAE1DF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14:paraId="7C63E48D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155D6F">
            <w:r>
              <w:rPr>
                <w:b/>
                <w:bCs/>
                <w:sz w:val="20"/>
                <w:szCs w:val="20"/>
              </w:rPr>
              <w:t>NETO ZADUŽIVANJE / FINANCIRANJE (B)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6AE331C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EB6D18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C52D33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14:paraId="64BDFF0A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43EC10">
            <w:r>
              <w:rPr>
                <w:b/>
                <w:bCs/>
                <w:sz w:val="20"/>
                <w:szCs w:val="20"/>
              </w:rPr>
              <w:t>VIŠAK POLUGODIŠTA 2026. (A + B)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C3D897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-385.576,98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58C3DD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114.666,99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5ED92A">
            <w:pPr>
              <w:jc w:val="right"/>
            </w:pPr>
          </w:p>
        </w:tc>
      </w:tr>
      <w:tr w14:paraId="254219FA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EE1A37">
            <w:r>
              <w:rPr>
                <w:sz w:val="20"/>
                <w:szCs w:val="20"/>
              </w:rPr>
              <w:t>Ukupan preneseni višak iz prethodne godine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70AC4A">
            <w:pPr>
              <w:jc w:val="right"/>
            </w:pPr>
            <w:r>
              <w:rPr>
                <w:sz w:val="20"/>
                <w:szCs w:val="20"/>
              </w:rPr>
              <w:t>1.156.730,93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8E5378">
            <w:pPr>
              <w:jc w:val="right"/>
            </w:pPr>
            <w:r>
              <w:rPr>
                <w:sz w:val="20"/>
                <w:szCs w:val="20"/>
              </w:rPr>
              <w:t>771.153,95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251277">
            <w:pPr>
              <w:jc w:val="right"/>
            </w:pPr>
          </w:p>
        </w:tc>
      </w:tr>
      <w:tr w14:paraId="58966047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EB4EE1">
            <w:r>
              <w:rPr>
                <w:sz w:val="20"/>
                <w:szCs w:val="20"/>
              </w:rPr>
              <w:t>Smanjenje viška prethodne godine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3DFD62">
            <w:pPr>
              <w:jc w:val="right"/>
            </w:pPr>
            <w:r>
              <w:rPr>
                <w:sz w:val="20"/>
                <w:szCs w:val="20"/>
              </w:rPr>
              <w:t>385.576,98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2E64F4">
            <w:pPr>
              <w:jc w:val="right"/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E3C200">
            <w:pPr>
              <w:jc w:val="right"/>
            </w:pPr>
          </w:p>
        </w:tc>
      </w:tr>
      <w:tr w14:paraId="4B8AD984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F85B50">
            <w:r>
              <w:rPr>
                <w:b/>
                <w:bCs/>
                <w:sz w:val="20"/>
                <w:szCs w:val="20"/>
              </w:rPr>
              <w:t>VIŠAK ZA PRIJENOS I RASPOREĐIVANJE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D3C589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771.153,95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4DD875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885.820,94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75E97A">
            <w:pPr>
              <w:jc w:val="right"/>
            </w:pPr>
          </w:p>
        </w:tc>
      </w:tr>
    </w:tbl>
    <w:p w14:paraId="28C781E2">
      <w:pPr>
        <w:spacing w:after="200" w:line="276" w:lineRule="auto"/>
        <w:jc w:val="both"/>
      </w:pPr>
      <w:r>
        <w:rPr>
          <w:i/>
          <w:iCs/>
          <w:sz w:val="20"/>
          <w:szCs w:val="20"/>
        </w:rPr>
        <w:t>Izvor podataka: Polugodišnji izvještaj o izvršenju Proračuna Općine Šestanovac za razdoblje 1.1.–30.6.2026. (Opći dio – Sažetak Računa prihoda i rashoda i Računa financiranja).</w:t>
      </w:r>
    </w:p>
    <w:p w14:paraId="08CE8848">
      <w:pPr>
        <w:spacing w:after="120" w:line="276" w:lineRule="auto"/>
        <w:jc w:val="both"/>
      </w:pPr>
      <w:r>
        <w:t>Ukupni prihodi i primici Proračuna u prvom polugodištu 2026. godine ostvareni su u iznosu od 1.004.721,27 €, a ukupni rashodi i izdaci u iznosu od 890.054,28 €. U okviru Računa prihoda i rashoda ostvaren je višak od 114.666,99 €, dok u Računu financiranja u promatranom razdoblju nije bilo primitaka od zaduživanja ni izdataka za otplatu zajmova.</w:t>
      </w:r>
    </w:p>
    <w:p w14:paraId="764EE913">
      <w:pPr>
        <w:spacing w:after="120" w:line="276" w:lineRule="auto"/>
        <w:jc w:val="both"/>
      </w:pPr>
      <w:r>
        <w:t>Zajedno s prenesenim viškom iz prethodne godine, koji je na dan 30. lipnja 2026. iznosio 771.153,95 €, ukupan raspoloživi višak za prijenos i raspoređivanje iznosi 885.820,94 €. Time je osigurana stabilna likvidnost Općine za financiranje kapitalnih projekata čija je realizacija planirana u drugoj polovici godine.</w:t>
      </w:r>
    </w:p>
    <w:p w14:paraId="4C508393">
      <w:pPr>
        <w:spacing w:after="120" w:line="276" w:lineRule="auto"/>
        <w:jc w:val="both"/>
      </w:pPr>
      <w:r>
        <w:t>Ukupni prihodi izvršeni su na razini 30,00 % izvornoga godišnjeg plana, a ukupni rashodi na razini 23,83 % plana. Ostvarenje prihoda na razini blizu 30 % plana odgovara ravnomjernom priljevu poreznih prihoda tijekom prvoga polugodišta, dok je niža razina izvršenja rashoda prvenstveno posljedica dinamike kapitalnih projekata koji ovise o postupcima javne nabave, ishođenju dozvola i priljevu namjenskih sredstava (pomoći i EU sredstava), s realizacijom pretežno u drugom dijelu godine.</w:t>
      </w:r>
    </w:p>
    <w:p w14:paraId="47D47A0A">
      <w:pPr>
        <w:spacing w:before="220" w:after="120"/>
      </w:pPr>
      <w:r>
        <w:rPr>
          <w:b/>
          <w:bCs/>
          <w:color w:val="1F4E5F"/>
          <w:sz w:val="24"/>
          <w:szCs w:val="24"/>
        </w:rPr>
        <w:t>2.2.  Obrazloženje ostvarenih prihoda</w:t>
      </w:r>
    </w:p>
    <w:p w14:paraId="3D5AB118">
      <w:pPr>
        <w:spacing w:after="120" w:line="276" w:lineRule="auto"/>
        <w:jc w:val="both"/>
      </w:pPr>
      <w:r>
        <w:t>Prihodi poslovanja (skupina 6) ostvareni su u iznosu od 1.002.994,08 €, odnosno 29,95 % godišnjega plana. Struktura ostvarenih prihoda prikazana je u nastavku:</w:t>
      </w:r>
    </w:p>
    <w:tbl>
      <w:tblPr>
        <w:tblStyle w:val="9"/>
        <w:tblW w:w="5000" w:type="pct"/>
        <w:tblInd w:w="0" w:type="dxa"/>
        <w:tblBorders>
          <w:top w:val="single" w:color="BFCAD0" w:sz="4" w:space="0"/>
          <w:left w:val="single" w:color="BFCAD0" w:sz="4" w:space="0"/>
          <w:bottom w:val="single" w:color="BFCAD0" w:sz="4" w:space="0"/>
          <w:right w:val="single" w:color="BFCAD0" w:sz="4" w:space="0"/>
          <w:insideH w:val="single" w:color="BFCAD0" w:sz="4" w:space="0"/>
          <w:insideV w:val="single" w:color="BFCAD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48"/>
        <w:gridCol w:w="1779"/>
        <w:gridCol w:w="1779"/>
        <w:gridCol w:w="1780"/>
      </w:tblGrid>
      <w:tr w14:paraId="3B6D2A02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3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48A8EE">
            <w:r>
              <w:rPr>
                <w:b/>
                <w:bCs/>
                <w:color w:val="FFFFFF"/>
                <w:sz w:val="20"/>
                <w:szCs w:val="20"/>
              </w:rPr>
              <w:t>Račun / opis</w:t>
            </w:r>
          </w:p>
        </w:tc>
        <w:tc>
          <w:tcPr>
            <w:tcW w:w="9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8589AE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Izvorni plan 2026.</w:t>
            </w:r>
          </w:p>
        </w:tc>
        <w:tc>
          <w:tcPr>
            <w:tcW w:w="9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FF9C2B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Izvršenje 30.6.2026.</w:t>
            </w:r>
          </w:p>
        </w:tc>
        <w:tc>
          <w:tcPr>
            <w:tcW w:w="9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171429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Indeks (%)</w:t>
            </w:r>
          </w:p>
        </w:tc>
      </w:tr>
      <w:tr w14:paraId="62804DBE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F162A5">
            <w:r>
              <w:rPr>
                <w:sz w:val="20"/>
                <w:szCs w:val="20"/>
              </w:rPr>
              <w:t>61  Prihodi od poreza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623E90">
            <w:pPr>
              <w:jc w:val="right"/>
            </w:pPr>
            <w:r>
              <w:rPr>
                <w:sz w:val="20"/>
                <w:szCs w:val="20"/>
              </w:rPr>
              <w:t>1.345.500,00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07065B">
            <w:pPr>
              <w:jc w:val="right"/>
            </w:pPr>
            <w:r>
              <w:rPr>
                <w:sz w:val="20"/>
                <w:szCs w:val="20"/>
              </w:rPr>
              <w:t>449.565,07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8BCE90">
            <w:pPr>
              <w:jc w:val="right"/>
            </w:pPr>
            <w:r>
              <w:rPr>
                <w:sz w:val="20"/>
                <w:szCs w:val="20"/>
              </w:rPr>
              <w:t>33,41 %</w:t>
            </w:r>
          </w:p>
        </w:tc>
      </w:tr>
      <w:tr w14:paraId="1B118F07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334D49">
            <w:r>
              <w:rPr>
                <w:sz w:val="20"/>
                <w:szCs w:val="20"/>
              </w:rPr>
              <w:t>63  Pomoći iz inozemstva i od subjekata unutar općeg proračuna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28CC81">
            <w:pPr>
              <w:jc w:val="right"/>
            </w:pPr>
            <w:r>
              <w:rPr>
                <w:sz w:val="20"/>
                <w:szCs w:val="20"/>
              </w:rPr>
              <w:t>1.207.925,00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3A2265">
            <w:pPr>
              <w:jc w:val="right"/>
            </w:pPr>
            <w:r>
              <w:rPr>
                <w:sz w:val="20"/>
                <w:szCs w:val="20"/>
              </w:rPr>
              <w:t>471.701,34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4632A4">
            <w:pPr>
              <w:jc w:val="right"/>
            </w:pPr>
            <w:r>
              <w:rPr>
                <w:sz w:val="20"/>
                <w:szCs w:val="20"/>
              </w:rPr>
              <w:t>39,05 %</w:t>
            </w:r>
          </w:p>
        </w:tc>
      </w:tr>
      <w:tr w14:paraId="40D4719E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A8C408">
            <w:r>
              <w:rPr>
                <w:sz w:val="20"/>
                <w:szCs w:val="20"/>
              </w:rPr>
              <w:t>64  Prihodi od imovine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751B21">
            <w:pPr>
              <w:jc w:val="right"/>
            </w:pPr>
            <w:r>
              <w:rPr>
                <w:sz w:val="20"/>
                <w:szCs w:val="20"/>
              </w:rPr>
              <w:t>664.520,00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9EB1FA">
            <w:pPr>
              <w:jc w:val="right"/>
            </w:pPr>
            <w:r>
              <w:rPr>
                <w:sz w:val="20"/>
                <w:szCs w:val="20"/>
              </w:rPr>
              <w:t>59.052,28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1EC0BB">
            <w:pPr>
              <w:jc w:val="right"/>
            </w:pPr>
            <w:r>
              <w:rPr>
                <w:sz w:val="20"/>
                <w:szCs w:val="20"/>
              </w:rPr>
              <w:t>8,89 %</w:t>
            </w:r>
          </w:p>
        </w:tc>
      </w:tr>
      <w:tr w14:paraId="300C48F1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179044">
            <w:r>
              <w:rPr>
                <w:sz w:val="20"/>
                <w:szCs w:val="20"/>
              </w:rPr>
              <w:t>65  Prihodi od upravnih i administrativnih pristojbi i naknada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0660AF">
            <w:pPr>
              <w:jc w:val="right"/>
            </w:pPr>
            <w:r>
              <w:rPr>
                <w:sz w:val="20"/>
                <w:szCs w:val="20"/>
              </w:rPr>
              <w:t>415.990,00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B80D90">
            <w:pPr>
              <w:jc w:val="right"/>
            </w:pPr>
            <w:r>
              <w:rPr>
                <w:sz w:val="20"/>
                <w:szCs w:val="20"/>
              </w:rPr>
              <w:t>6.057,22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ED2E0C">
            <w:pPr>
              <w:jc w:val="right"/>
            </w:pPr>
            <w:r>
              <w:rPr>
                <w:sz w:val="20"/>
                <w:szCs w:val="20"/>
              </w:rPr>
              <w:t>1,46 %</w:t>
            </w:r>
          </w:p>
        </w:tc>
      </w:tr>
      <w:tr w14:paraId="5B839944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57236F">
            <w:r>
              <w:rPr>
                <w:sz w:val="20"/>
                <w:szCs w:val="20"/>
              </w:rPr>
              <w:t>66  Prihodi od prodaje proizvoda i robe te pruženih usluga i donacija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F74A04">
            <w:pPr>
              <w:jc w:val="right"/>
            </w:pPr>
            <w:r>
              <w:rPr>
                <w:sz w:val="20"/>
                <w:szCs w:val="20"/>
              </w:rPr>
              <w:t>100.400,00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DF5C7D">
            <w:pPr>
              <w:jc w:val="right"/>
            </w:pPr>
            <w:r>
              <w:rPr>
                <w:sz w:val="20"/>
                <w:szCs w:val="20"/>
              </w:rPr>
              <w:t>540,00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EBE381">
            <w:pPr>
              <w:jc w:val="right"/>
            </w:pPr>
            <w:r>
              <w:rPr>
                <w:sz w:val="20"/>
                <w:szCs w:val="20"/>
              </w:rPr>
              <w:t>0,54 %</w:t>
            </w:r>
          </w:p>
        </w:tc>
      </w:tr>
      <w:tr w14:paraId="5DC02537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9B9D08">
            <w:r>
              <w:rPr>
                <w:sz w:val="20"/>
                <w:szCs w:val="20"/>
              </w:rPr>
              <w:t>68  Kazne, upravne mjere i ostali prihodi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6E41D77">
            <w:pPr>
              <w:jc w:val="right"/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4B24BC">
            <w:pPr>
              <w:jc w:val="right"/>
            </w:pPr>
            <w:r>
              <w:rPr>
                <w:sz w:val="20"/>
                <w:szCs w:val="20"/>
              </w:rPr>
              <w:t>16.078,17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CD3D93">
            <w:pPr>
              <w:jc w:val="right"/>
            </w:pPr>
            <w:r>
              <w:rPr>
                <w:sz w:val="20"/>
                <w:szCs w:val="20"/>
              </w:rPr>
              <w:t>-</w:t>
            </w:r>
          </w:p>
        </w:tc>
      </w:tr>
      <w:tr w14:paraId="3A3DE617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608FB7">
            <w:r>
              <w:rPr>
                <w:b/>
                <w:bCs/>
                <w:sz w:val="20"/>
                <w:szCs w:val="20"/>
              </w:rPr>
              <w:t>6  UKUPNO PRIHODI POSLOVANJA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762611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3.348.758,02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9F11B3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1.002.994,08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76CA5A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29,95 %</w:t>
            </w:r>
          </w:p>
        </w:tc>
      </w:tr>
      <w:tr w14:paraId="282EFA41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B0E2E2">
            <w:r>
              <w:rPr>
                <w:sz w:val="20"/>
                <w:szCs w:val="20"/>
              </w:rPr>
              <w:t>7  Prihodi od prodaje nefinancijske imovine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FCF2D5">
            <w:pPr>
              <w:jc w:val="right"/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FCC398">
            <w:pPr>
              <w:jc w:val="right"/>
            </w:pPr>
            <w:r>
              <w:rPr>
                <w:sz w:val="20"/>
                <w:szCs w:val="20"/>
              </w:rPr>
              <w:t>1.727,19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E8A5D6">
            <w:pPr>
              <w:jc w:val="right"/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2D435EAA">
      <w:pPr>
        <w:spacing w:after="200" w:line="276" w:lineRule="auto"/>
        <w:jc w:val="both"/>
      </w:pPr>
      <w:r>
        <w:rPr>
          <w:i/>
          <w:iCs/>
          <w:sz w:val="20"/>
          <w:szCs w:val="20"/>
        </w:rPr>
        <w:t>Izvor podataka: Polugodišnji izvještaj – Prihodi i rashodi prema ekonomskoj klasifikaciji.</w:t>
      </w:r>
    </w:p>
    <w:p w14:paraId="0C936B70">
      <w:pPr>
        <w:spacing w:before="180" w:after="90"/>
      </w:pPr>
      <w:r>
        <w:rPr>
          <w:b/>
          <w:bCs/>
        </w:rPr>
        <w:t>Prihodi od poreza (skupina 61)</w:t>
      </w:r>
    </w:p>
    <w:p w14:paraId="0E8D6CB3">
      <w:pPr>
        <w:spacing w:after="120" w:line="276" w:lineRule="auto"/>
        <w:jc w:val="both"/>
      </w:pPr>
      <w:r>
        <w:t>Prihodi od poreza ostvareni su u iznosu od 449.565,07 €, odnosno 33,41 % godišnjega plana, i predstavljaju najznačajniji izvorni prihod Općine. Najveći dio odnosi se na porez i prirez na dohodak u iznosu od 439.684,81 € (od čega porez na dohodak od nesamostalnog rada 373.150,42 € i od samostalnih djelatnosti 40.332,33 €). Porezi na imovinu ostvareni su u iznosu od 8.302,39 €, a porezi na robu i usluge 1.577,87 €. Ostvarenje poreznih prihoda na razini trećine godišnjega plana odgovara ravnomjernom priljevu prihoda od poreza na dohodak tijekom prvoga polugodišta.</w:t>
      </w:r>
    </w:p>
    <w:p w14:paraId="628FCDAA">
      <w:pPr>
        <w:spacing w:before="180" w:after="90"/>
      </w:pPr>
      <w:r>
        <w:rPr>
          <w:b/>
          <w:bCs/>
        </w:rPr>
        <w:t>Pomoći (skupina 63)</w:t>
      </w:r>
    </w:p>
    <w:p w14:paraId="41D1ED44">
      <w:pPr>
        <w:spacing w:after="120" w:line="276" w:lineRule="auto"/>
        <w:jc w:val="both"/>
      </w:pPr>
      <w:r>
        <w:t>Pomoći iz inozemstva i od subjekata unutar općeg proračuna ostvarene su u iznosu od 471.701,34 € i čine 46,9 % ukupno ostvarenih prihoda, čime potvrđuju izraženu ovisnost Proračuna o namjenskim sredstvima viših razina vlasti i fondova Europske unije. Pomoći proračunu iz drugih proračuna ostvarene su u iznosu od 281.966,78 €, a pomoći proračunu iz sredstava EU 189.734,56 €. Sredstva EU pretežno se odnose na provedbu projekta „Zaželi – osiguraj njegu u toplini svog doma“.</w:t>
      </w:r>
    </w:p>
    <w:p w14:paraId="2D8822DF">
      <w:pPr>
        <w:spacing w:before="180" w:after="90"/>
      </w:pPr>
      <w:r>
        <w:rPr>
          <w:b/>
          <w:bCs/>
        </w:rPr>
        <w:t>Prihodi od imovine (skupina 64)</w:t>
      </w:r>
    </w:p>
    <w:p w14:paraId="5AAE7E55">
      <w:pPr>
        <w:spacing w:after="120" w:line="276" w:lineRule="auto"/>
        <w:jc w:val="both"/>
      </w:pPr>
      <w:r>
        <w:t>Prihodi od imovine ostvareni su u iznosu od 59.052,28 € (8,89 % plana). Prihodi od nefinancijske imovine (najam, zakup i naknade za korištenje nefinancijske imovine) iznose 59.033,44 €, dok prihodi od financijske imovine (kamate) iznose 18,84 €. Niža razina izvršenja u odnosu na godišnji plan posljedica je dinamike naplate te činjenice da se dio prihoda od korištenja imovine ostvaruje tijekom turističke sezone u drugoj polovici godine.</w:t>
      </w:r>
    </w:p>
    <w:p w14:paraId="73315AFE">
      <w:pPr>
        <w:spacing w:before="180" w:after="90"/>
      </w:pPr>
      <w:r>
        <w:rPr>
          <w:b/>
          <w:bCs/>
        </w:rPr>
        <w:t>Prihodi od pristojbi, naknada i ostali prihodi (skupine 65, 66 i 68)</w:t>
      </w:r>
    </w:p>
    <w:p w14:paraId="477CB37D">
      <w:pPr>
        <w:spacing w:after="120" w:line="276" w:lineRule="auto"/>
        <w:jc w:val="both"/>
      </w:pPr>
      <w:r>
        <w:t>Prihodi od upravnih i administrativnih pristojbi te naknada po posebnim propisima ostvareni su u iznosu od 6.057,22 €, unutar čega komunalni doprinosi i naknade iznose 5.425,46 €. Niska razina naplaćenoga komunalnog doprinosa odraz je dinamike izdavanja rješenja i tijeka gradnje. Prihodi od prodaje proizvoda i robe te donacija ostvareni su u iznosu od 540,00 €. U okviru skupine 68 evidentirani su ostali prihodi (kazne, upravne mjere i ostali nespomenuti prihodi) u iznosu od 16.078,17 €, koji izvornim planom nisu bili predviđeni. Prihodi od prodaje nefinancijske imovine (skupina 7) ostvareni su u iznosu od 1.727,19 € i odnose se na prihode od prodaje građevinskih objekata.</w:t>
      </w:r>
    </w:p>
    <w:p w14:paraId="15FEADEF">
      <w:pPr>
        <w:spacing w:before="220" w:after="120"/>
      </w:pPr>
      <w:r>
        <w:rPr>
          <w:b/>
          <w:bCs/>
          <w:color w:val="1F4E5F"/>
          <w:sz w:val="24"/>
          <w:szCs w:val="24"/>
        </w:rPr>
        <w:t>2.3.  Obrazloženje izvršenih rashoda</w:t>
      </w:r>
    </w:p>
    <w:p w14:paraId="66637666">
      <w:pPr>
        <w:spacing w:after="120" w:line="276" w:lineRule="auto"/>
        <w:jc w:val="both"/>
      </w:pPr>
      <w:r>
        <w:t>Rashodi poslovanja (skupina 3) izvršeni su u iznosu od 750.941,46 € (30,79 % plana), a rashodi za nabavu nefinancijske imovine (skupina 4) u iznosu od 139.112,82 € (10,74 % plana). Struktura izvršenih rashoda prikazana je u nastavku:</w:t>
      </w:r>
    </w:p>
    <w:tbl>
      <w:tblPr>
        <w:tblStyle w:val="9"/>
        <w:tblW w:w="5000" w:type="pct"/>
        <w:tblInd w:w="0" w:type="dxa"/>
        <w:tblBorders>
          <w:top w:val="single" w:color="BFCAD0" w:sz="4" w:space="0"/>
          <w:left w:val="single" w:color="BFCAD0" w:sz="4" w:space="0"/>
          <w:bottom w:val="single" w:color="BFCAD0" w:sz="4" w:space="0"/>
          <w:right w:val="single" w:color="BFCAD0" w:sz="4" w:space="0"/>
          <w:insideH w:val="single" w:color="BFCAD0" w:sz="4" w:space="0"/>
          <w:insideV w:val="single" w:color="BFCAD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48"/>
        <w:gridCol w:w="1779"/>
        <w:gridCol w:w="1779"/>
        <w:gridCol w:w="1780"/>
      </w:tblGrid>
      <w:tr w14:paraId="55057A69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3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C21953">
            <w:r>
              <w:rPr>
                <w:b/>
                <w:bCs/>
                <w:color w:val="FFFFFF"/>
                <w:sz w:val="20"/>
                <w:szCs w:val="20"/>
              </w:rPr>
              <w:t>Račun / opis</w:t>
            </w:r>
          </w:p>
        </w:tc>
        <w:tc>
          <w:tcPr>
            <w:tcW w:w="9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5238B5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Izvorni plan 2026.</w:t>
            </w:r>
          </w:p>
        </w:tc>
        <w:tc>
          <w:tcPr>
            <w:tcW w:w="9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562A0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Izvršenje 30.6.2026.</w:t>
            </w:r>
          </w:p>
        </w:tc>
        <w:tc>
          <w:tcPr>
            <w:tcW w:w="9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974A2C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Indeks (%)</w:t>
            </w:r>
          </w:p>
        </w:tc>
      </w:tr>
      <w:tr w14:paraId="2EFC1C2A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35F4B9">
            <w:r>
              <w:rPr>
                <w:sz w:val="20"/>
                <w:szCs w:val="20"/>
              </w:rPr>
              <w:t>31  Rashodi za zaposlene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6FA2A3D">
            <w:pPr>
              <w:jc w:val="right"/>
            </w:pPr>
            <w:r>
              <w:rPr>
                <w:sz w:val="20"/>
                <w:szCs w:val="20"/>
              </w:rPr>
              <w:t>523.950,99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330F25">
            <w:pPr>
              <w:jc w:val="right"/>
            </w:pPr>
            <w:r>
              <w:rPr>
                <w:sz w:val="20"/>
                <w:szCs w:val="20"/>
              </w:rPr>
              <w:t>247.595,93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D8E5FE">
            <w:pPr>
              <w:jc w:val="right"/>
            </w:pPr>
            <w:r>
              <w:rPr>
                <w:sz w:val="20"/>
                <w:szCs w:val="20"/>
              </w:rPr>
              <w:t>47,26 %</w:t>
            </w:r>
          </w:p>
        </w:tc>
      </w:tr>
      <w:tr w14:paraId="40F8038B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D13766">
            <w:r>
              <w:rPr>
                <w:sz w:val="20"/>
                <w:szCs w:val="20"/>
              </w:rPr>
              <w:t>32  Materijalni rashodi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470A1D">
            <w:pPr>
              <w:jc w:val="right"/>
            </w:pPr>
            <w:r>
              <w:rPr>
                <w:sz w:val="20"/>
                <w:szCs w:val="20"/>
              </w:rPr>
              <w:t>1.156.949,00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5BCE02">
            <w:pPr>
              <w:jc w:val="right"/>
            </w:pPr>
            <w:r>
              <w:rPr>
                <w:sz w:val="20"/>
                <w:szCs w:val="20"/>
              </w:rPr>
              <w:t>267.949,20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FAE389">
            <w:pPr>
              <w:jc w:val="right"/>
            </w:pPr>
            <w:r>
              <w:rPr>
                <w:sz w:val="20"/>
                <w:szCs w:val="20"/>
              </w:rPr>
              <w:t>23,16 %</w:t>
            </w:r>
          </w:p>
        </w:tc>
      </w:tr>
      <w:tr w14:paraId="68CDCED1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ACC03E">
            <w:r>
              <w:rPr>
                <w:sz w:val="20"/>
                <w:szCs w:val="20"/>
              </w:rPr>
              <w:t>34  Financijski rashodi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57CEB5">
            <w:pPr>
              <w:jc w:val="right"/>
            </w:pPr>
            <w:r>
              <w:rPr>
                <w:sz w:val="20"/>
                <w:szCs w:val="20"/>
              </w:rPr>
              <w:t>1.050,00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A1DAD4">
            <w:pPr>
              <w:jc w:val="right"/>
            </w:pPr>
            <w:r>
              <w:rPr>
                <w:sz w:val="20"/>
                <w:szCs w:val="20"/>
              </w:rPr>
              <w:t>767,62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54F87E">
            <w:pPr>
              <w:jc w:val="right"/>
            </w:pPr>
            <w:r>
              <w:rPr>
                <w:sz w:val="20"/>
                <w:szCs w:val="20"/>
              </w:rPr>
              <w:t>73,11 %</w:t>
            </w:r>
          </w:p>
        </w:tc>
      </w:tr>
      <w:tr w14:paraId="23756F58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8407FC">
            <w:r>
              <w:rPr>
                <w:sz w:val="20"/>
                <w:szCs w:val="20"/>
              </w:rPr>
              <w:t>35  Subvencije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332323">
            <w:pPr>
              <w:jc w:val="right"/>
            </w:pPr>
            <w:r>
              <w:rPr>
                <w:sz w:val="20"/>
                <w:szCs w:val="20"/>
              </w:rPr>
              <w:t>100.400,00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D7F8B1">
            <w:pPr>
              <w:jc w:val="right"/>
            </w:pPr>
            <w:r>
              <w:rPr>
                <w:sz w:val="20"/>
                <w:szCs w:val="20"/>
              </w:rPr>
              <w:t>21.627,07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6C6542">
            <w:pPr>
              <w:jc w:val="right"/>
            </w:pPr>
            <w:r>
              <w:rPr>
                <w:sz w:val="20"/>
                <w:szCs w:val="20"/>
              </w:rPr>
              <w:t>21,54 %</w:t>
            </w:r>
          </w:p>
        </w:tc>
      </w:tr>
      <w:tr w14:paraId="4C4EDCFD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3D38B1">
            <w:r>
              <w:rPr>
                <w:sz w:val="20"/>
                <w:szCs w:val="20"/>
              </w:rPr>
              <w:t>36  Pomoći dane unutar općeg proračuna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B4C135">
            <w:pPr>
              <w:jc w:val="right"/>
            </w:pPr>
            <w:r>
              <w:rPr>
                <w:sz w:val="20"/>
                <w:szCs w:val="20"/>
              </w:rPr>
              <w:t>42.000,00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64DF19">
            <w:pPr>
              <w:jc w:val="right"/>
            </w:pPr>
            <w:r>
              <w:rPr>
                <w:sz w:val="20"/>
                <w:szCs w:val="20"/>
              </w:rPr>
              <w:t>158.821,64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CFC1E9">
            <w:pPr>
              <w:jc w:val="right"/>
            </w:pPr>
            <w:r>
              <w:rPr>
                <w:sz w:val="20"/>
                <w:szCs w:val="20"/>
              </w:rPr>
              <w:t>378,15 %</w:t>
            </w:r>
          </w:p>
        </w:tc>
      </w:tr>
      <w:tr w14:paraId="364A166A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80AB7B">
            <w:r>
              <w:rPr>
                <w:sz w:val="20"/>
                <w:szCs w:val="20"/>
              </w:rPr>
              <w:t>37  Naknade građanima i kućanstvima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3F51CB">
            <w:pPr>
              <w:jc w:val="right"/>
            </w:pPr>
            <w:r>
              <w:rPr>
                <w:sz w:val="20"/>
                <w:szCs w:val="20"/>
              </w:rPr>
              <w:t>123.825,00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31B6DB">
            <w:pPr>
              <w:jc w:val="right"/>
            </w:pPr>
            <w:r>
              <w:rPr>
                <w:sz w:val="20"/>
                <w:szCs w:val="20"/>
              </w:rPr>
              <w:t>54.180,00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40CECB">
            <w:pPr>
              <w:jc w:val="right"/>
            </w:pPr>
            <w:r>
              <w:rPr>
                <w:sz w:val="20"/>
                <w:szCs w:val="20"/>
              </w:rPr>
              <w:t>43,76 %</w:t>
            </w:r>
          </w:p>
        </w:tc>
      </w:tr>
      <w:tr w14:paraId="5EA07E32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4AC416">
            <w:r>
              <w:rPr>
                <w:sz w:val="20"/>
                <w:szCs w:val="20"/>
              </w:rPr>
              <w:t>38  Ostali rashodi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516930">
            <w:pPr>
              <w:jc w:val="right"/>
            </w:pPr>
            <w:r>
              <w:rPr>
                <w:sz w:val="20"/>
                <w:szCs w:val="20"/>
              </w:rPr>
              <w:t>490.990,00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3D578A">
            <w:pPr>
              <w:jc w:val="right"/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5421C6">
            <w:pPr>
              <w:jc w:val="right"/>
            </w:pPr>
            <w:r>
              <w:rPr>
                <w:sz w:val="20"/>
                <w:szCs w:val="20"/>
              </w:rPr>
              <w:t>0,00 %</w:t>
            </w:r>
          </w:p>
        </w:tc>
      </w:tr>
      <w:tr w14:paraId="7E85C016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163920">
            <w:r>
              <w:rPr>
                <w:b/>
                <w:bCs/>
                <w:sz w:val="20"/>
                <w:szCs w:val="20"/>
              </w:rPr>
              <w:t>3  UKUPNO RASHODI POSLOVANJA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9A6F38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2.439.164,99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A99514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750.941,46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C90306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30,79 %</w:t>
            </w:r>
          </w:p>
        </w:tc>
      </w:tr>
      <w:tr w14:paraId="179C2128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27140F">
            <w:r>
              <w:rPr>
                <w:sz w:val="20"/>
                <w:szCs w:val="20"/>
              </w:rPr>
              <w:t>41  Nabava neproizvedene dugotrajne imovine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397E42">
            <w:pPr>
              <w:jc w:val="right"/>
            </w:pPr>
            <w:r>
              <w:rPr>
                <w:sz w:val="20"/>
                <w:szCs w:val="20"/>
              </w:rPr>
              <w:t>20.370,00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AD78B9">
            <w:pPr>
              <w:jc w:val="right"/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FD4DBD">
            <w:pPr>
              <w:jc w:val="right"/>
            </w:pPr>
            <w:r>
              <w:rPr>
                <w:sz w:val="20"/>
                <w:szCs w:val="20"/>
              </w:rPr>
              <w:t>0,00 %</w:t>
            </w:r>
          </w:p>
        </w:tc>
      </w:tr>
      <w:tr w14:paraId="7A498401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B0B8AC">
            <w:r>
              <w:rPr>
                <w:sz w:val="20"/>
                <w:szCs w:val="20"/>
              </w:rPr>
              <w:t>42  Nabava proizvedene dugotrajne imovine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A980B8">
            <w:pPr>
              <w:jc w:val="right"/>
            </w:pPr>
            <w:r>
              <w:rPr>
                <w:sz w:val="20"/>
                <w:szCs w:val="20"/>
              </w:rPr>
              <w:t>1.274.800,00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BBCB56">
            <w:pPr>
              <w:jc w:val="right"/>
            </w:pPr>
            <w:r>
              <w:rPr>
                <w:sz w:val="20"/>
                <w:szCs w:val="20"/>
              </w:rPr>
              <w:t>139.112,82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74A0CC">
            <w:pPr>
              <w:jc w:val="right"/>
            </w:pPr>
            <w:r>
              <w:rPr>
                <w:sz w:val="20"/>
                <w:szCs w:val="20"/>
              </w:rPr>
              <w:t>10,91 %</w:t>
            </w:r>
          </w:p>
        </w:tc>
      </w:tr>
      <w:tr w14:paraId="5C51AEC7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5A08A8">
            <w:r>
              <w:rPr>
                <w:b/>
                <w:bCs/>
                <w:sz w:val="20"/>
                <w:szCs w:val="20"/>
              </w:rPr>
              <w:t>4  UKUPNO NABAVA NEFINANCIJSKE IMOVINE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0AFD42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1.295.170,00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A299EE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139.112,82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F807D8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10,74 %</w:t>
            </w:r>
          </w:p>
        </w:tc>
      </w:tr>
    </w:tbl>
    <w:p w14:paraId="44AAE2CE">
      <w:pPr>
        <w:spacing w:after="200" w:line="276" w:lineRule="auto"/>
        <w:jc w:val="both"/>
      </w:pPr>
      <w:r>
        <w:rPr>
          <w:i/>
          <w:iCs/>
          <w:sz w:val="20"/>
          <w:szCs w:val="20"/>
        </w:rPr>
        <w:t>Izvor podataka: Polugodišnji izvještaj – Prihodi i rashodi prema ekonomskoj klasifikaciji.</w:t>
      </w:r>
    </w:p>
    <w:p w14:paraId="6ACBE2DB">
      <w:pPr>
        <w:spacing w:before="180" w:after="90"/>
      </w:pPr>
      <w:r>
        <w:rPr>
          <w:b/>
          <w:bCs/>
        </w:rPr>
        <w:t>Rashodi za zaposlene (skupina 31)</w:t>
      </w:r>
    </w:p>
    <w:p w14:paraId="2ACAEC96">
      <w:pPr>
        <w:spacing w:after="120" w:line="276" w:lineRule="auto"/>
        <w:jc w:val="both"/>
      </w:pPr>
      <w:r>
        <w:t>Rashodi za zaposlene izvršeni su u iznosu od 247.595,93 €, odnosno 47,26 % plana. Plaće (bruto) iznose 142.738,66 €, doprinosi na plaće 83.878,49 €, a ostali rashodi za zaposlene 20.978,78 €. Značajan udio rashoda za zaposlene odnosi se na osobe zaposlene u sklopu projekta „Zaželi“ i programa javnih radova, koje se financiraju iz namjenskih i EU sredstava.</w:t>
      </w:r>
    </w:p>
    <w:p w14:paraId="45E3083D">
      <w:pPr>
        <w:spacing w:before="180" w:after="90"/>
      </w:pPr>
      <w:r>
        <w:rPr>
          <w:b/>
          <w:bCs/>
        </w:rPr>
        <w:t>Materijalni rashodi (skupina 32)</w:t>
      </w:r>
    </w:p>
    <w:p w14:paraId="31BFEC85">
      <w:pPr>
        <w:spacing w:after="120" w:line="276" w:lineRule="auto"/>
        <w:jc w:val="both"/>
      </w:pPr>
      <w:r>
        <w:t>Materijalni rashodi izvršeni su u iznosu od 267.949,20 € (23,16 % plana) i najznačajnija su rashodna skupina poslovanja. Najveći dio odnosi se na rashode za usluge (191.784,12 €), zatim rashode za materijal i energiju (51.897,54 €), ostale nespomenute rashode poslovanja (15.091,63 €), naknade troškova osobama izvan radnog odnosa (7.755,41 €) te naknade troškova zaposlenima (1.420,50 €).</w:t>
      </w:r>
    </w:p>
    <w:p w14:paraId="2AE1746C">
      <w:pPr>
        <w:spacing w:before="180" w:after="90"/>
      </w:pPr>
      <w:r>
        <w:rPr>
          <w:b/>
          <w:bCs/>
        </w:rPr>
        <w:t>Financijski rashodi, subvencije i naknade (skupine 34, 35 i 37)</w:t>
      </w:r>
    </w:p>
    <w:p w14:paraId="263C1F5D">
      <w:pPr>
        <w:spacing w:after="120" w:line="276" w:lineRule="auto"/>
        <w:jc w:val="both"/>
      </w:pPr>
      <w:r>
        <w:t>Financijski rashodi izvršeni su u iznosu od 767,62 € i odnose se na bankarske usluge i usluge platnog prometa. Subvencije su izvršene u iznosu od 21.627,07 € (21,54 % plana) i u cijelosti se odnose na subvencije trgovačkim društvima, poljoprivrednicima i obrtnicima, čime se izravno potiče konkurentnost gospodarskih subjekata na području Općine. Naknade građanima i kućanstvima izvršene su u iznosu od 54.180,00 € (43,76 % plana), u cijelosti u obliku ostalih naknada iz proračuna (stipendije, naknade za novorođenčad i pomoći obiteljima), čime Općina provodi svoje socijalne i demografske mjere.</w:t>
      </w:r>
    </w:p>
    <w:p w14:paraId="6B8BFB3D">
      <w:pPr>
        <w:spacing w:before="180" w:after="90"/>
      </w:pPr>
      <w:r>
        <w:rPr>
          <w:b/>
          <w:bCs/>
        </w:rPr>
        <w:t>Pomoći dane unutar općeg proračuna (skupina 36)</w:t>
      </w:r>
    </w:p>
    <w:p w14:paraId="743245CC">
      <w:pPr>
        <w:spacing w:after="120" w:line="276" w:lineRule="auto"/>
        <w:jc w:val="both"/>
      </w:pPr>
      <w:r>
        <w:t>Pomoći dane unutar općeg proračuna izvršene su u iznosu od 158.821,64 €, što znatno premašuje izvorni plan te skupine. Odstupanje je posljedica evidentiranja prijenosa sredstava povezanih s provedbom projekata sufinanciranih iz EU fondova i drugih namjenskih izvora (osobito programa „Zaželi“ te ostalih projekata), koji u trenutku donošenja izvornoga plana nisu u cijelosti bili raspoređeni na ovoj poziciji. Ostali rashodi (skupina 38) u prvom polugodištu nisu izvršeni.</w:t>
      </w:r>
    </w:p>
    <w:p w14:paraId="47ACA004">
      <w:pPr>
        <w:spacing w:before="180" w:after="90"/>
      </w:pPr>
      <w:r>
        <w:rPr>
          <w:b/>
          <w:bCs/>
        </w:rPr>
        <w:t>Rashodi za nabavu nefinancijske imovine (skupina 4)</w:t>
      </w:r>
    </w:p>
    <w:p w14:paraId="44838B80">
      <w:pPr>
        <w:spacing w:after="120" w:line="276" w:lineRule="auto"/>
        <w:jc w:val="both"/>
      </w:pPr>
      <w:r>
        <w:t>Rashodi za nabavu nefinancijske imovine izvršeni su u iznosu od 139.112,82 € (10,74 % plana). Najveći dio odnosi se na građevinske objekte (421) u iznosu od 136.235,82 €, unutar kojih se ističu ulaganja u rekonstrukciju Kulturno-informativnog centra Mandušića kula te u prometnu i komunalnu infrastrukturu, dok se na postrojenja i opremu (422) odnosi 2.877,00 €. Niska razina izvršenja u odnosu na plan posljedica je dinamike provedbe kapitalnih projekata, s realizacijom pretežno u drugoj polovici godine.</w:t>
      </w:r>
    </w:p>
    <w:p w14:paraId="058B835F">
      <w:pPr>
        <w:spacing w:before="220" w:after="120"/>
      </w:pPr>
      <w:r>
        <w:rPr>
          <w:b/>
          <w:bCs/>
          <w:color w:val="1F4E5F"/>
          <w:sz w:val="24"/>
          <w:szCs w:val="24"/>
        </w:rPr>
        <w:t>2.4.  Prihodi i rashodi prema izvorima financiranja</w:t>
      </w:r>
    </w:p>
    <w:p w14:paraId="543B8D21">
      <w:pPr>
        <w:spacing w:after="120" w:line="276" w:lineRule="auto"/>
        <w:jc w:val="both"/>
      </w:pPr>
      <w:r>
        <w:t>Prema izvorima financiranja, ukupni prihodi i primici ostvareni su u iznosu od 1.004.721,27 €, a rashodi i izdaci u iznosu od 890.054,28 €.</w:t>
      </w:r>
    </w:p>
    <w:tbl>
      <w:tblPr>
        <w:tblStyle w:val="9"/>
        <w:tblW w:w="5000" w:type="pct"/>
        <w:tblInd w:w="0" w:type="dxa"/>
        <w:tblBorders>
          <w:top w:val="single" w:color="BFCAD0" w:sz="4" w:space="0"/>
          <w:left w:val="single" w:color="BFCAD0" w:sz="4" w:space="0"/>
          <w:bottom w:val="single" w:color="BFCAD0" w:sz="4" w:space="0"/>
          <w:right w:val="single" w:color="BFCAD0" w:sz="4" w:space="0"/>
          <w:insideH w:val="single" w:color="BFCAD0" w:sz="4" w:space="0"/>
          <w:insideV w:val="single" w:color="BFCAD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140"/>
        <w:gridCol w:w="2373"/>
        <w:gridCol w:w="2373"/>
      </w:tblGrid>
      <w:tr w14:paraId="0DE24A82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6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A21EFB">
            <w:r>
              <w:rPr>
                <w:b/>
                <w:bCs/>
                <w:color w:val="FFFFFF"/>
                <w:sz w:val="20"/>
                <w:szCs w:val="20"/>
              </w:rPr>
              <w:t>Izvor financiranja</w:t>
            </w:r>
          </w:p>
        </w:tc>
        <w:tc>
          <w:tcPr>
            <w:tcW w:w="12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8B3D8D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Ostvareni prihodi</w:t>
            </w:r>
          </w:p>
        </w:tc>
        <w:tc>
          <w:tcPr>
            <w:tcW w:w="12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C5372C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Izvršeni rashodi</w:t>
            </w:r>
          </w:p>
        </w:tc>
      </w:tr>
      <w:tr w14:paraId="0016BD1D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51278E">
            <w:r>
              <w:rPr>
                <w:sz w:val="20"/>
                <w:szCs w:val="20"/>
              </w:rPr>
              <w:t>Izvor 1. Opći prihodi i primici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67539E">
            <w:pPr>
              <w:jc w:val="right"/>
            </w:pPr>
            <w:r>
              <w:rPr>
                <w:sz w:val="20"/>
                <w:szCs w:val="20"/>
              </w:rPr>
              <w:t>508.617,35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FFB6DB">
            <w:pPr>
              <w:jc w:val="right"/>
            </w:pPr>
            <w:r>
              <w:rPr>
                <w:sz w:val="20"/>
                <w:szCs w:val="20"/>
              </w:rPr>
              <w:t>598.613,94</w:t>
            </w:r>
          </w:p>
        </w:tc>
      </w:tr>
      <w:tr w14:paraId="10B8ACDF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61B4F1">
            <w:r>
              <w:rPr>
                <w:sz w:val="20"/>
                <w:szCs w:val="20"/>
              </w:rPr>
              <w:t>Izvor 3. Vlastiti prihodi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6725E4">
            <w:pPr>
              <w:jc w:val="right"/>
            </w:pPr>
            <w:r>
              <w:rPr>
                <w:sz w:val="20"/>
                <w:szCs w:val="20"/>
              </w:rPr>
              <w:t>22.675,39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2586FE">
            <w:pPr>
              <w:jc w:val="right"/>
            </w:pPr>
            <w:r>
              <w:rPr>
                <w:sz w:val="20"/>
                <w:szCs w:val="20"/>
              </w:rPr>
              <w:t>96.625,37</w:t>
            </w:r>
          </w:p>
        </w:tc>
      </w:tr>
      <w:tr w14:paraId="02653297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CC9E63">
            <w:r>
              <w:rPr>
                <w:sz w:val="20"/>
                <w:szCs w:val="20"/>
              </w:rPr>
              <w:t>Izvor 5. Pomoći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E4F85C">
            <w:pPr>
              <w:jc w:val="right"/>
            </w:pPr>
            <w:r>
              <w:rPr>
                <w:sz w:val="20"/>
                <w:szCs w:val="20"/>
              </w:rPr>
              <w:t>471.701,34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18A456">
            <w:pPr>
              <w:jc w:val="right"/>
            </w:pPr>
            <w:r>
              <w:rPr>
                <w:sz w:val="20"/>
                <w:szCs w:val="20"/>
              </w:rPr>
              <w:t>194.814,97</w:t>
            </w:r>
          </w:p>
        </w:tc>
      </w:tr>
      <w:tr w14:paraId="7789E4D3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5278EF">
            <w:r>
              <w:rPr>
                <w:sz w:val="20"/>
                <w:szCs w:val="20"/>
              </w:rPr>
              <w:t xml:space="preserve">     Izvor 5.4. Pomoći iz državnog i županijskog proračuna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F65DDE">
            <w:pPr>
              <w:jc w:val="right"/>
            </w:pPr>
            <w:r>
              <w:rPr>
                <w:sz w:val="20"/>
                <w:szCs w:val="20"/>
              </w:rPr>
              <w:t>281.966,78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7BCD91">
            <w:pPr>
              <w:jc w:val="right"/>
            </w:pPr>
            <w:r>
              <w:rPr>
                <w:sz w:val="20"/>
                <w:szCs w:val="20"/>
              </w:rPr>
              <w:t>13.782,97</w:t>
            </w:r>
          </w:p>
        </w:tc>
      </w:tr>
      <w:tr w14:paraId="75171A5F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1C78DA">
            <w:r>
              <w:rPr>
                <w:sz w:val="20"/>
                <w:szCs w:val="20"/>
              </w:rPr>
              <w:t xml:space="preserve">     Izvor 5.6. Sredstva EU fondova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5502F5">
            <w:pPr>
              <w:jc w:val="right"/>
            </w:pPr>
            <w:r>
              <w:rPr>
                <w:sz w:val="20"/>
                <w:szCs w:val="20"/>
              </w:rPr>
              <w:t>189.734,56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5F60F2">
            <w:pPr>
              <w:jc w:val="right"/>
            </w:pPr>
            <w:r>
              <w:rPr>
                <w:sz w:val="20"/>
                <w:szCs w:val="20"/>
              </w:rPr>
              <w:t>181.032,00</w:t>
            </w:r>
          </w:p>
        </w:tc>
      </w:tr>
      <w:tr w14:paraId="0CD37F39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5BB563">
            <w:r>
              <w:rPr>
                <w:sz w:val="20"/>
                <w:szCs w:val="20"/>
              </w:rPr>
              <w:t>Izvor 7. Prihodi od prodaje / naknade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4A48A4">
            <w:pPr>
              <w:jc w:val="right"/>
            </w:pPr>
            <w:r>
              <w:rPr>
                <w:sz w:val="20"/>
                <w:szCs w:val="20"/>
              </w:rPr>
              <w:t>1.727,19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D1A5D4">
            <w:pPr>
              <w:jc w:val="right"/>
            </w:pPr>
            <w:r>
              <w:rPr>
                <w:sz w:val="20"/>
                <w:szCs w:val="20"/>
              </w:rPr>
              <w:t>0,00</w:t>
            </w:r>
          </w:p>
        </w:tc>
      </w:tr>
      <w:tr w14:paraId="69531992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C472F1">
            <w:r>
              <w:rPr>
                <w:sz w:val="20"/>
                <w:szCs w:val="20"/>
              </w:rPr>
              <w:t>Izvor 8. Primici od financijske imovine i zaduživanja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7A5B19">
            <w:pPr>
              <w:jc w:val="right"/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0595DD">
            <w:pPr>
              <w:jc w:val="right"/>
            </w:pPr>
            <w:r>
              <w:rPr>
                <w:sz w:val="20"/>
                <w:szCs w:val="20"/>
              </w:rPr>
              <w:t>0,00</w:t>
            </w:r>
          </w:p>
        </w:tc>
      </w:tr>
      <w:tr w14:paraId="680CBE09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08F186">
            <w:r>
              <w:rPr>
                <w:b/>
                <w:bCs/>
                <w:sz w:val="20"/>
                <w:szCs w:val="20"/>
              </w:rPr>
              <w:t>SVEUKUPNO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266257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1.004.721,27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979A72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890.054,28</w:t>
            </w:r>
          </w:p>
        </w:tc>
      </w:tr>
    </w:tbl>
    <w:p w14:paraId="4BE34911">
      <w:pPr>
        <w:spacing w:after="160" w:line="276" w:lineRule="auto"/>
        <w:jc w:val="both"/>
      </w:pPr>
      <w:r>
        <w:t>Sredstva pomoći (izvor 5.) i EU fondova (izvor 5.6.) čine okosnicu financiranja kapitalnih i socijalnih programa Općine, dok se opći prihodi i primici te vlastiti prihodi pretežno usmjeravaju na redovno funkcioniranje i održavanje komunalne infrastrukture. U prvom polugodištu iz sredstava EU fondova izvršeno je 181.032,00 € rashoda, u cijelosti u sklopu programa javnih radova, odnosno projekta „Zaželi“.</w:t>
      </w:r>
    </w:p>
    <w:p w14:paraId="6976FD4C">
      <w:pPr>
        <w:spacing w:before="220" w:after="120"/>
      </w:pPr>
      <w:r>
        <w:rPr>
          <w:b/>
          <w:bCs/>
          <w:color w:val="1F4E5F"/>
          <w:sz w:val="24"/>
          <w:szCs w:val="24"/>
        </w:rPr>
        <w:t>2.5.  Rashodi prema funkcijskoj klasifikaciji</w:t>
      </w:r>
    </w:p>
    <w:p w14:paraId="14E02A93">
      <w:pPr>
        <w:spacing w:after="120" w:line="276" w:lineRule="auto"/>
        <w:jc w:val="both"/>
      </w:pPr>
      <w:r>
        <w:t>Prema funkcijskoj klasifikaciji, ukupni rashodi izvršeni su kako slijedi:</w:t>
      </w:r>
    </w:p>
    <w:tbl>
      <w:tblPr>
        <w:tblStyle w:val="9"/>
        <w:tblW w:w="5000" w:type="pct"/>
        <w:tblInd w:w="0" w:type="dxa"/>
        <w:tblBorders>
          <w:top w:val="single" w:color="BFCAD0" w:sz="4" w:space="0"/>
          <w:left w:val="single" w:color="BFCAD0" w:sz="4" w:space="0"/>
          <w:bottom w:val="single" w:color="BFCAD0" w:sz="4" w:space="0"/>
          <w:right w:val="single" w:color="BFCAD0" w:sz="4" w:space="0"/>
          <w:insideH w:val="single" w:color="BFCAD0" w:sz="4" w:space="0"/>
          <w:insideV w:val="single" w:color="BFCAD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140"/>
        <w:gridCol w:w="2373"/>
        <w:gridCol w:w="2373"/>
      </w:tblGrid>
      <w:tr w14:paraId="173A3CE2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6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CDF455">
            <w:r>
              <w:rPr>
                <w:b/>
                <w:bCs/>
                <w:color w:val="FFFFFF"/>
                <w:sz w:val="20"/>
                <w:szCs w:val="20"/>
              </w:rPr>
              <w:t>Funkcijska klasifikacija</w:t>
            </w:r>
          </w:p>
        </w:tc>
        <w:tc>
          <w:tcPr>
            <w:tcW w:w="12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236427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Tekući plan 2026.</w:t>
            </w:r>
          </w:p>
        </w:tc>
        <w:tc>
          <w:tcPr>
            <w:tcW w:w="1200" w:type="pct"/>
            <w:shd w:val="clear" w:color="auto" w:fill="1F4E5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C60F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Izvršenje 30.6.2026.</w:t>
            </w:r>
          </w:p>
        </w:tc>
      </w:tr>
      <w:tr w14:paraId="366459A1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3E6153">
            <w:r>
              <w:rPr>
                <w:sz w:val="20"/>
                <w:szCs w:val="20"/>
              </w:rPr>
              <w:t>01  Opće javne usluge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2881F8">
            <w:pPr>
              <w:jc w:val="right"/>
            </w:pPr>
            <w:r>
              <w:rPr>
                <w:sz w:val="20"/>
                <w:szCs w:val="20"/>
              </w:rPr>
              <w:t>1.072.370,00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0EF89D">
            <w:pPr>
              <w:jc w:val="right"/>
            </w:pPr>
            <w:r>
              <w:rPr>
                <w:sz w:val="20"/>
                <w:szCs w:val="20"/>
              </w:rPr>
              <w:t>428.945,02</w:t>
            </w:r>
          </w:p>
        </w:tc>
      </w:tr>
      <w:tr w14:paraId="1D1395FA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CF50FA">
            <w:r>
              <w:rPr>
                <w:sz w:val="20"/>
                <w:szCs w:val="20"/>
              </w:rPr>
              <w:t>03  Javni red i sigurnost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6263CF">
            <w:pPr>
              <w:jc w:val="right"/>
            </w:pPr>
            <w:r>
              <w:rPr>
                <w:sz w:val="20"/>
                <w:szCs w:val="20"/>
              </w:rPr>
              <w:t>97.020,00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9BBFA3">
            <w:pPr>
              <w:jc w:val="right"/>
            </w:pPr>
            <w:r>
              <w:rPr>
                <w:sz w:val="20"/>
                <w:szCs w:val="20"/>
              </w:rPr>
              <w:t>12.614,75</w:t>
            </w:r>
          </w:p>
        </w:tc>
      </w:tr>
      <w:tr w14:paraId="6F2C4F3C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6D4F6C">
            <w:r>
              <w:rPr>
                <w:sz w:val="20"/>
                <w:szCs w:val="20"/>
              </w:rPr>
              <w:t>04  Ekonomski poslovi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8C8D2B">
            <w:pPr>
              <w:jc w:val="right"/>
            </w:pPr>
            <w:r>
              <w:rPr>
                <w:sz w:val="20"/>
                <w:szCs w:val="20"/>
              </w:rPr>
              <w:t>1.485.550,00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108789">
            <w:pPr>
              <w:jc w:val="right"/>
            </w:pPr>
            <w:r>
              <w:rPr>
                <w:sz w:val="20"/>
                <w:szCs w:val="20"/>
              </w:rPr>
              <w:t>124.133,54</w:t>
            </w:r>
          </w:p>
        </w:tc>
      </w:tr>
      <w:tr w14:paraId="7B0EC930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E8A10B">
            <w:r>
              <w:rPr>
                <w:sz w:val="20"/>
                <w:szCs w:val="20"/>
              </w:rPr>
              <w:t>05  Zaštita okoliša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76DA5F">
            <w:pPr>
              <w:jc w:val="right"/>
            </w:pPr>
            <w:r>
              <w:rPr>
                <w:sz w:val="20"/>
                <w:szCs w:val="20"/>
              </w:rPr>
              <w:t>162.770,00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A42AE7">
            <w:pPr>
              <w:jc w:val="right"/>
            </w:pPr>
            <w:r>
              <w:rPr>
                <w:sz w:val="20"/>
                <w:szCs w:val="20"/>
              </w:rPr>
              <w:t>25.741,25</w:t>
            </w:r>
          </w:p>
        </w:tc>
      </w:tr>
      <w:tr w14:paraId="145717BB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493E96">
            <w:r>
              <w:rPr>
                <w:sz w:val="20"/>
                <w:szCs w:val="20"/>
              </w:rPr>
              <w:t>06  Unaprjeđenje stanovanja i zajednice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F2B59D">
            <w:pPr>
              <w:jc w:val="right"/>
            </w:pPr>
            <w:r>
              <w:rPr>
                <w:sz w:val="20"/>
                <w:szCs w:val="20"/>
              </w:rPr>
              <w:t>140.000,00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2E3FED">
            <w:pPr>
              <w:jc w:val="right"/>
            </w:pPr>
            <w:r>
              <w:rPr>
                <w:sz w:val="20"/>
                <w:szCs w:val="20"/>
              </w:rPr>
              <w:t>20.907,33</w:t>
            </w:r>
          </w:p>
        </w:tc>
      </w:tr>
      <w:tr w14:paraId="2F250DA2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360FFC">
            <w:r>
              <w:rPr>
                <w:sz w:val="20"/>
                <w:szCs w:val="20"/>
              </w:rPr>
              <w:t>08  Rekreacija, kultura i religija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103972">
            <w:pPr>
              <w:jc w:val="right"/>
            </w:pPr>
            <w:r>
              <w:rPr>
                <w:sz w:val="20"/>
                <w:szCs w:val="20"/>
              </w:rPr>
              <w:t>251.100,00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78B0D8">
            <w:pPr>
              <w:jc w:val="right"/>
            </w:pPr>
            <w:r>
              <w:rPr>
                <w:sz w:val="20"/>
                <w:szCs w:val="20"/>
              </w:rPr>
              <w:t>109.644,10</w:t>
            </w:r>
          </w:p>
        </w:tc>
      </w:tr>
      <w:tr w14:paraId="729680D4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88DE69">
            <w:r>
              <w:rPr>
                <w:sz w:val="20"/>
                <w:szCs w:val="20"/>
              </w:rPr>
              <w:t>09  Obrazovanje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C944D4">
            <w:pPr>
              <w:jc w:val="right"/>
            </w:pPr>
            <w:r>
              <w:rPr>
                <w:sz w:val="20"/>
                <w:szCs w:val="20"/>
              </w:rPr>
              <w:t>384.650,00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06234F6">
            <w:pPr>
              <w:jc w:val="right"/>
            </w:pPr>
            <w:r>
              <w:rPr>
                <w:sz w:val="20"/>
                <w:szCs w:val="20"/>
              </w:rPr>
              <w:t>129.608,34</w:t>
            </w:r>
          </w:p>
        </w:tc>
      </w:tr>
      <w:tr w14:paraId="7E4009DC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D93F74">
            <w:r>
              <w:rPr>
                <w:sz w:val="20"/>
                <w:szCs w:val="20"/>
              </w:rPr>
              <w:t>10  Socijalna zaštita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63F120">
            <w:pPr>
              <w:jc w:val="right"/>
            </w:pPr>
            <w:r>
              <w:rPr>
                <w:sz w:val="20"/>
                <w:szCs w:val="20"/>
              </w:rPr>
              <w:t>140.875,00</w:t>
            </w:r>
          </w:p>
        </w:tc>
        <w:tc>
          <w:tcPr>
            <w:tcW w:w="0" w:type="auto"/>
            <w:shd w:val="clear" w:color="auto" w:fill="EFF3F5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262401">
            <w:pPr>
              <w:jc w:val="right"/>
            </w:pPr>
            <w:r>
              <w:rPr>
                <w:sz w:val="20"/>
                <w:szCs w:val="20"/>
              </w:rPr>
              <w:t>38.459,95</w:t>
            </w:r>
          </w:p>
        </w:tc>
      </w:tr>
      <w:tr w14:paraId="68948019">
        <w:tblPrEx>
          <w:tblBorders>
            <w:top w:val="single" w:color="BFCAD0" w:sz="4" w:space="0"/>
            <w:left w:val="single" w:color="BFCAD0" w:sz="4" w:space="0"/>
            <w:bottom w:val="single" w:color="BFCAD0" w:sz="4" w:space="0"/>
            <w:right w:val="single" w:color="BFCAD0" w:sz="4" w:space="0"/>
            <w:insideH w:val="single" w:color="BFCAD0" w:sz="4" w:space="0"/>
            <w:insideV w:val="single" w:color="BFCAD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C73268">
            <w:r>
              <w:rPr>
                <w:b/>
                <w:bCs/>
                <w:sz w:val="20"/>
                <w:szCs w:val="20"/>
              </w:rPr>
              <w:t>SVEUKUPNO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E5B8CA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3.734.335,00</w:t>
            </w:r>
          </w:p>
        </w:tc>
        <w:tc>
          <w:tcPr>
            <w:tcW w:w="0" w:type="auto"/>
            <w:shd w:val="clear" w:color="auto" w:fill="DCE6E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EF04B6"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>890.054,28</w:t>
            </w:r>
          </w:p>
        </w:tc>
      </w:tr>
    </w:tbl>
    <w:p w14:paraId="240331F3">
      <w:pPr>
        <w:spacing w:after="160" w:line="276" w:lineRule="auto"/>
        <w:jc w:val="both"/>
      </w:pPr>
      <w:r>
        <w:t>Najveći udio rashoda odnosi se na opće javne usluge (428.945,02 €), unutar kojih dominiraju javna uprava i administracija te javni radovi, zatim na obrazovanje (129.608,34 €) te ekonomske poslove (124.133,54 €). Slijede rekreacija, kultura i religija (109.644,10 €), unutar čega se ističu ulaganja u obnovu kulturne baštine.</w:t>
      </w:r>
    </w:p>
    <w:p w14:paraId="299FFC37">
      <w:pPr>
        <w:spacing w:before="220" w:after="120"/>
      </w:pPr>
      <w:r>
        <w:rPr>
          <w:b/>
          <w:bCs/>
          <w:color w:val="1F4E5F"/>
          <w:sz w:val="24"/>
          <w:szCs w:val="24"/>
        </w:rPr>
        <w:t>2.6.  Račun financiranja i rezultat poslovanja</w:t>
      </w:r>
    </w:p>
    <w:p w14:paraId="799B81A6">
      <w:pPr>
        <w:spacing w:after="120" w:line="276" w:lineRule="auto"/>
        <w:jc w:val="both"/>
      </w:pPr>
      <w:r>
        <w:t>U Računu financiranja u prvom polugodištu 2026. godine nije bilo primitaka od financijske imovine i zaduživanja niti izdataka za financijsku imovinu i otplate zajmova. Neto zaduživanje iznosi 0,00 €, a Općina se u promatranom razdoblju nije dugoročno zaduživala.</w:t>
      </w:r>
    </w:p>
    <w:p w14:paraId="5DC9BBEF">
      <w:pPr>
        <w:spacing w:after="120" w:line="276" w:lineRule="auto"/>
        <w:jc w:val="both"/>
      </w:pPr>
      <w:r>
        <w:t>U razdoblju 1.1.–30.6.2026. ostvaren je višak prihoda i primitaka nad rashodima i izdacima u iznosu od 114.666,99 €. Uvećan za preneseni višak iz prethodne godine, koji na dan 30. lipnja 2026. iznosi 771.153,95 €, ukupan višak za prijenos i raspoređivanje iznosi 885.820,94 €. Raspoloživi višak koristit će se za financiranje programa, projekata i aktivnosti Proračuna u nastavku 2026. godine te će se, sukladno Odluci o izvršenju Proračuna, rasporediti Izmjenama i dopunama Proračuna Općine Šestanovac.</w:t>
      </w:r>
    </w:p>
    <w:p w14:paraId="1F3B98C4">
      <w:pPr>
        <w:spacing w:before="280" w:after="140"/>
      </w:pPr>
      <w:r>
        <w:rPr>
          <w:b/>
          <w:bCs/>
          <w:color w:val="1F4E5F"/>
          <w:sz w:val="26"/>
          <w:szCs w:val="26"/>
        </w:rPr>
        <w:t>3.  OBRAZLOŽENJE POSEBNOG DIJELA IZVJEŠTAJA O IZVRŠENJU PRORAČUNA</w:t>
      </w:r>
    </w:p>
    <w:p w14:paraId="4C6061FB">
      <w:pPr>
        <w:spacing w:after="120" w:line="276" w:lineRule="auto"/>
        <w:jc w:val="both"/>
      </w:pPr>
      <w:r>
        <w:t>U Posebnom dijelu izvještaja rashodi i izdaci iskazani su prema organizacijskoj i programskoj klasifikaciji. Prema organizacijskoj klasifikaciji, Razdjel 001 Vijeće izvršio je rashode u iznosu od 7.689,63 €, a Razdjel 002 Načelnik i Upravni odjel u iznosu od 882.364,65 €.</w:t>
      </w:r>
    </w:p>
    <w:p w14:paraId="289BBEAA">
      <w:pPr>
        <w:spacing w:after="160" w:line="276" w:lineRule="auto"/>
        <w:jc w:val="both"/>
      </w:pPr>
      <w:r>
        <w:t>U nastavku se daje obrazloženje izvršenja pojedinih programa te u okviru njih značajnijih aktivnosti (A), tekućih projekata (T) i kapitalnih projekata (K) u prvom polugodištu 2026. godine.</w:t>
      </w:r>
    </w:p>
    <w:p w14:paraId="79EE497C">
      <w:pPr>
        <w:spacing w:before="200" w:after="60"/>
      </w:pPr>
      <w:r>
        <w:rPr>
          <w:b/>
          <w:bCs/>
          <w:color w:val="1F4E5F"/>
        </w:rPr>
        <w:t>Program 1000 – Redovni rad vijeća</w:t>
      </w:r>
    </w:p>
    <w:p w14:paraId="4586100F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13.500,00 €    </w:t>
      </w:r>
      <w:r>
        <w:rPr>
          <w:b/>
          <w:bCs/>
        </w:rPr>
        <w:t xml:space="preserve">Izvršenje: </w:t>
      </w:r>
      <w:r>
        <w:t xml:space="preserve">7.689,63 €    </w:t>
      </w:r>
      <w:r>
        <w:rPr>
          <w:b/>
          <w:bCs/>
        </w:rPr>
        <w:t xml:space="preserve">Indeks: </w:t>
      </w:r>
      <w:r>
        <w:t>56,96 %</w:t>
      </w:r>
    </w:p>
    <w:p w14:paraId="4322EC96">
      <w:pPr>
        <w:spacing w:after="120" w:line="276" w:lineRule="auto"/>
        <w:jc w:val="both"/>
      </w:pPr>
      <w:r>
        <w:t>Program obuhvaća redovni rad Općinskog vijeća i financira se iz općih prihoda i primitaka. Rashodi za rad Vijeća izvršeni su u iznosu od 7.689,63 € (56,96 % plana), a odnose se na naknade za rad vijećnika i predstavničkih tijela te troškove održavanja sjednica. Razina izvršenja u skladu je s redovnom dinamikom rada Vijeća u prvom polugodištu.</w:t>
      </w:r>
    </w:p>
    <w:p w14:paraId="2DDB07DE">
      <w:pPr>
        <w:spacing w:before="200" w:after="60"/>
      </w:pPr>
      <w:r>
        <w:rPr>
          <w:b/>
          <w:bCs/>
          <w:color w:val="1F4E5F"/>
        </w:rPr>
        <w:t>Program 1001 – Javna uprava i administracija</w:t>
      </w:r>
    </w:p>
    <w:p w14:paraId="46C98D2A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701.595,00 €    </w:t>
      </w:r>
      <w:r>
        <w:rPr>
          <w:b/>
          <w:bCs/>
        </w:rPr>
        <w:t xml:space="preserve">Izvršenje: </w:t>
      </w:r>
      <w:r>
        <w:t xml:space="preserve">240.223,39 €    </w:t>
      </w:r>
      <w:r>
        <w:rPr>
          <w:b/>
          <w:bCs/>
        </w:rPr>
        <w:t xml:space="preserve">Indeks: </w:t>
      </w:r>
      <w:r>
        <w:t>34,24 %</w:t>
      </w:r>
    </w:p>
    <w:p w14:paraId="3D3962F8">
      <w:pPr>
        <w:spacing w:after="120" w:line="276" w:lineRule="auto"/>
        <w:jc w:val="both"/>
      </w:pPr>
      <w:r>
        <w:t>Program obuhvaća redovno funkcioniranje Općine te s time povezane rashode. Aktivnost A100002 Redovno funkcioniranje Općine izvršena je u iznosu od 151.346,95 € (rashodi za zaposlene, materijalni i financijski rashodi). Vanjski suradnici (A100005) financirani su u iznosu od 9.270,55 €.</w:t>
      </w:r>
    </w:p>
    <w:p w14:paraId="5D968E59">
      <w:pPr>
        <w:spacing w:after="120" w:line="276" w:lineRule="auto"/>
        <w:jc w:val="both"/>
      </w:pPr>
      <w:r>
        <w:t>U okviru programa financirani su i Turistička zajednica (A100010, 45.900,00 €) te Poduzetnički inkubator Šestanovac d.o.o. (A100051, 9.763,00 €), kao nositelj mjera poticanja poduzetništva na području Općine. Za rad LAG-a (A100009) utrošeno je 1.944,76 €, a za obilježavanje Dana Općine (A100006) 2.585,00 €. Za povrat kredita (kamate, A100053) evidentirano je 767,62 €.</w:t>
      </w:r>
    </w:p>
    <w:p w14:paraId="73DFC665">
      <w:pPr>
        <w:spacing w:after="120" w:line="276" w:lineRule="auto"/>
        <w:jc w:val="both"/>
      </w:pPr>
      <w:r>
        <w:t>Za uređenje općinskih prostora u vlasništvu Općine (A100008) utrošeno je 19.413,13 €. Sredstva planirana za stručno usavršavanje zaposlenika (A100003), ovrhe po sudskim sporovima (A100060), nabavu dugotrajne imovine za općinske prostorije (K200001) te politički rad (A100011, A100052) u prvom polugodištu nisu utrošena ili su utrošena u manjem opsegu.</w:t>
      </w:r>
    </w:p>
    <w:p w14:paraId="6ACAF744">
      <w:pPr>
        <w:spacing w:before="200" w:after="60"/>
      </w:pPr>
      <w:r>
        <w:rPr>
          <w:b/>
          <w:bCs/>
          <w:color w:val="1F4E5F"/>
        </w:rPr>
        <w:t>Program 1002 – Zaštita i spašavanje</w:t>
      </w:r>
    </w:p>
    <w:p w14:paraId="077CDF2C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97.020,00 €    </w:t>
      </w:r>
      <w:r>
        <w:rPr>
          <w:b/>
          <w:bCs/>
        </w:rPr>
        <w:t xml:space="preserve">Izvršenje: </w:t>
      </w:r>
      <w:r>
        <w:t xml:space="preserve">12.614,75 €    </w:t>
      </w:r>
      <w:r>
        <w:rPr>
          <w:b/>
          <w:bCs/>
        </w:rPr>
        <w:t xml:space="preserve">Indeks: </w:t>
      </w:r>
      <w:r>
        <w:t>13,00 %</w:t>
      </w:r>
    </w:p>
    <w:p w14:paraId="5C8A4B03">
      <w:pPr>
        <w:spacing w:after="120" w:line="276" w:lineRule="auto"/>
        <w:jc w:val="both"/>
      </w:pPr>
      <w:r>
        <w:t>Program obuhvaća financiranje sustava civilne zaštite i vatrogastva. Za rad Dobrovoljnog vatrogasnog društva (A100012) utrošeno je 9.739,75 €, a za Hrvatsku gorsku službu spašavanja (A100014) 2.000,00 €. Katastarski poslovi (A200004) izvršeni su u iznosu od 875,00 €. Sredstva planirana za sezonskog vatrogasca, civilnu zaštitu, Crveni križ te izradu procjena i planova u području zaštite i spašavanja u prvom polugodištu pretežno nisu realizirana, s obzirom na to da se dio tih aktivnosti provodi tijekom ljetne sezone i u drugoj polovici godine.</w:t>
      </w:r>
    </w:p>
    <w:p w14:paraId="406C9C7D">
      <w:pPr>
        <w:spacing w:before="200" w:after="60"/>
      </w:pPr>
      <w:r>
        <w:rPr>
          <w:b/>
          <w:bCs/>
          <w:color w:val="1F4E5F"/>
        </w:rPr>
        <w:t>Program 1003 – Javni radovi</w:t>
      </w:r>
    </w:p>
    <w:p w14:paraId="21BC3E8E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357.275,00 €    </w:t>
      </w:r>
      <w:r>
        <w:rPr>
          <w:b/>
          <w:bCs/>
        </w:rPr>
        <w:t xml:space="preserve">Izvršenje: </w:t>
      </w:r>
      <w:r>
        <w:t xml:space="preserve">181.032,00 €    </w:t>
      </w:r>
      <w:r>
        <w:rPr>
          <w:b/>
          <w:bCs/>
        </w:rPr>
        <w:t xml:space="preserve">Indeks: </w:t>
      </w:r>
      <w:r>
        <w:t>50,67 %</w:t>
      </w:r>
    </w:p>
    <w:p w14:paraId="4DB88A94">
      <w:pPr>
        <w:spacing w:after="120" w:line="276" w:lineRule="auto"/>
        <w:jc w:val="both"/>
      </w:pPr>
      <w:r>
        <w:t>Program obuhvaća zapošljavanje kroz projekt „Zaželi“ i program javnih radova, a financira se pretežno iz sredstava Europske unije i drugih namjenskih izvora te je izvršen na razini 50,67 % plana.</w:t>
      </w:r>
    </w:p>
    <w:p w14:paraId="3BA9240F">
      <w:pPr>
        <w:spacing w:after="120" w:line="276" w:lineRule="auto"/>
        <w:jc w:val="both"/>
      </w:pPr>
      <w:r>
        <w:t>Aktivnost A100079 Zapošljavanje – program „Zaželi“ izvršena je u iznosu od 181.032,00 €. Riječ je o projektu „Zaželi – osiguraj njegu u toplini svog doma“, koji Općina Šestanovac provodi kroz Program Učinkoviti ljudski potencijali 2021.–2027. (Europski socijalni fond plus). Zaposlene žene na projektu pružaju svakodnevnu pomoć i podršku starijim osobama i osobama s invaliditetom, uz redovitu mjesečnu podjelu paketa s osnovnim higijenskim i kućanskim potrepštinama, koja se u prvom polugodištu 2026. provodila kontinuirano.</w:t>
      </w:r>
    </w:p>
    <w:p w14:paraId="62D93A8C">
      <w:pPr>
        <w:spacing w:before="200" w:after="60"/>
      </w:pPr>
      <w:r>
        <w:rPr>
          <w:b/>
          <w:bCs/>
          <w:color w:val="1F4E5F"/>
        </w:rPr>
        <w:t>Program 1004 – Poticanje razvoja gospodarstva</w:t>
      </w:r>
    </w:p>
    <w:p w14:paraId="42A80AAA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222.900,00 €    </w:t>
      </w:r>
      <w:r>
        <w:rPr>
          <w:b/>
          <w:bCs/>
        </w:rPr>
        <w:t xml:space="preserve">Izvršenje: </w:t>
      </w:r>
      <w:r>
        <w:t xml:space="preserve">4.134,61 €    </w:t>
      </w:r>
      <w:r>
        <w:rPr>
          <w:b/>
          <w:bCs/>
        </w:rPr>
        <w:t xml:space="preserve">Indeks: </w:t>
      </w:r>
      <w:r>
        <w:t>1,85 %</w:t>
      </w:r>
    </w:p>
    <w:p w14:paraId="43ADF49F">
      <w:pPr>
        <w:spacing w:after="120" w:line="276" w:lineRule="auto"/>
        <w:jc w:val="both"/>
      </w:pPr>
      <w:r>
        <w:t>Program obuhvaća mjere poticanja gospodarskog razvoja te kapitalna ulaganja u poduzetničku i turističku infrastrukturu. U prvom polugodištu izvršen je u iznosu od 4.134,61 €, pri čemu su realizirani kapitalni projekt K200097 Električni bicikli (4.134,61 €, uvođenje sustava javnih električnih bicikala).</w:t>
      </w:r>
    </w:p>
    <w:p w14:paraId="038E61F0">
      <w:pPr>
        <w:spacing w:after="120" w:line="276" w:lineRule="auto"/>
        <w:jc w:val="both"/>
      </w:pPr>
      <w:r>
        <w:t>Za kapitalni projekt K200006 Razvoj gospodarske zone i izgradnja te kapitalni projekt K200007 Razvoj turizma (tematske staze i interaktivne karte), kao i za mjere jačanja konkurentnosti poljoprivrednih proizvođača (A100020), poticanja malog poduzetništva i obrta (A100056) te potporu Veterinarskoj stanici (A100057), u prvom polugodištu sredstva nisu utrošena. Podsjeća se da je infrastrukturni projekt u gospodarskoj zoni Šestanovac Zapad, ukupne vrijednosti 974.158,78 €, uspješno završen tijekom 2025. godine, čime je zona opremljena i spremna za prihvat novih investitora.</w:t>
      </w:r>
    </w:p>
    <w:p w14:paraId="084FF66E">
      <w:pPr>
        <w:spacing w:before="200" w:after="60"/>
      </w:pPr>
      <w:r>
        <w:rPr>
          <w:b/>
          <w:bCs/>
          <w:color w:val="1F4E5F"/>
        </w:rPr>
        <w:t>Program 1005 – Održavanje objekata i uređenje komunalne infrastrukture</w:t>
      </w:r>
    </w:p>
    <w:p w14:paraId="7EAD7CF3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230.000,00 €    </w:t>
      </w:r>
      <w:r>
        <w:rPr>
          <w:b/>
          <w:bCs/>
        </w:rPr>
        <w:t xml:space="preserve">Izvršenje: </w:t>
      </w:r>
      <w:r>
        <w:t xml:space="preserve">23.470,63 €    </w:t>
      </w:r>
      <w:r>
        <w:rPr>
          <w:b/>
          <w:bCs/>
        </w:rPr>
        <w:t xml:space="preserve">Indeks: </w:t>
      </w:r>
      <w:r>
        <w:t>10,20 %</w:t>
      </w:r>
    </w:p>
    <w:p w14:paraId="609F6FCF">
      <w:pPr>
        <w:spacing w:after="120" w:line="276" w:lineRule="auto"/>
        <w:jc w:val="both"/>
      </w:pPr>
      <w:r>
        <w:t>Program obuhvaća održavanje i uređenje javnih površina i komunalne infrastrukture. Aktivnost A100021 Održavanje i uređenje javnih površina, igrališta i tržnica izvršena je u iznosu od 23.470,63 €. Sredstva planirana za sanaciju i čišćenje nerazvrstanih cesta od snijega (A100022), uređenje tržnice (A100068) te sanaciju stabala u Kreševu Polju, Katunima, Žeževici i Grabovcu (A100067) u prvom polugodištu nisu utrošena, budući da se ti radovi pretežno izvode u drugoj polovici godine.</w:t>
      </w:r>
    </w:p>
    <w:p w14:paraId="5F914A04">
      <w:pPr>
        <w:spacing w:before="200" w:after="60"/>
      </w:pPr>
      <w:r>
        <w:rPr>
          <w:b/>
          <w:bCs/>
          <w:color w:val="1F4E5F"/>
        </w:rPr>
        <w:t>Program 1006 – Razvoj i sigurnost prometa</w:t>
      </w:r>
    </w:p>
    <w:p w14:paraId="63D151EB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232.350,00 €    </w:t>
      </w:r>
      <w:r>
        <w:rPr>
          <w:b/>
          <w:bCs/>
        </w:rPr>
        <w:t xml:space="preserve">Izvršenje: </w:t>
      </w:r>
      <w:r>
        <w:t xml:space="preserve">70.678,82 €    </w:t>
      </w:r>
      <w:r>
        <w:rPr>
          <w:b/>
          <w:bCs/>
        </w:rPr>
        <w:t xml:space="preserve">Indeks: </w:t>
      </w:r>
      <w:r>
        <w:t>30,42 %</w:t>
      </w:r>
    </w:p>
    <w:p w14:paraId="704095BC">
      <w:pPr>
        <w:spacing w:after="120" w:line="276" w:lineRule="auto"/>
        <w:jc w:val="both"/>
      </w:pPr>
      <w:r>
        <w:t>Program obuhvaća održavanje i sanaciju nerazvrstanih cesta te ulaganja u sigurnost prometa. Aktivnost A100023 Sanacija nerazvrstanih cesta izvršena je u iznosu od 38.428,82 €, a A100100 Održavanje nerazvrstanih cesta u iznosu od 17.275,00 €. Za uređenje poljskih puteva (A100024) utrošeno je 14.975,00 €. Među realiziranim radovima ističe se asfaltiranje ceste u naselju Kreševo, kroz zaselke Deliće i Barabane do crkve sv. Roka, čime je unaprijeđena prometna povezanost i sigurnost lokalne prometne mreže. Sredstva planirana za kamere za sigurnost prometa (A100058), ulične table (A100025) i putokaze (A100026) u prvom polugodištu nisu utrošena.</w:t>
      </w:r>
    </w:p>
    <w:p w14:paraId="78BD46AD">
      <w:pPr>
        <w:spacing w:before="200" w:after="60"/>
      </w:pPr>
      <w:r>
        <w:rPr>
          <w:b/>
          <w:bCs/>
          <w:color w:val="1F4E5F"/>
        </w:rPr>
        <w:t>Program 1007 – Groblja i mrtvačnice</w:t>
      </w:r>
    </w:p>
    <w:p w14:paraId="104D64F2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453.050,00 €    </w:t>
      </w:r>
      <w:r>
        <w:rPr>
          <w:b/>
          <w:bCs/>
        </w:rPr>
        <w:t xml:space="preserve">Izvršenje: </w:t>
      </w:r>
      <w:r>
        <w:t xml:space="preserve">23.251,48 €    </w:t>
      </w:r>
      <w:r>
        <w:rPr>
          <w:b/>
          <w:bCs/>
        </w:rPr>
        <w:t xml:space="preserve">Indeks: </w:t>
      </w:r>
      <w:r>
        <w:t>5,13 %</w:t>
      </w:r>
    </w:p>
    <w:p w14:paraId="04264267">
      <w:pPr>
        <w:spacing w:after="120" w:line="276" w:lineRule="auto"/>
        <w:jc w:val="both"/>
      </w:pPr>
      <w:r>
        <w:t>Program obuhvaća održavanje i izgradnju grobne infrastrukture. Aktivnost A100069 Održavanje groblja izvršena je u iznosu od 9.758,98 €, a kapitalni projekt K200009 Mrtvačnica – građevinski objekti u iznosu od 13.492,50 €. Kapitalni projekti izgradnje groblja (A100070), proširenja groblja Grabovac te Katuni-Kreševo, Žeževica i Kreševo brdo (K200031) i opremanja mrtvačnice (K200022) u prvom polugodištu nisu realizirani. Niža razina izvršenja programa posljedica je dinamike pripreme dokumentacije, imovinsko-pravnih odnosa i postupaka javne nabave, pa se najveći dio ulaganja u grobnu infrastrukturu očekuje u drugoj polovici godine.</w:t>
      </w:r>
    </w:p>
    <w:p w14:paraId="4ACE1C85">
      <w:pPr>
        <w:spacing w:before="200" w:after="60"/>
      </w:pPr>
      <w:r>
        <w:rPr>
          <w:b/>
          <w:bCs/>
          <w:color w:val="1F4E5F"/>
        </w:rPr>
        <w:t>Program 1008 – Vodoopskrba i odvodnja</w:t>
      </w:r>
    </w:p>
    <w:p w14:paraId="6028EF82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297.250,00 €    </w:t>
      </w:r>
      <w:r>
        <w:rPr>
          <w:b/>
          <w:bCs/>
        </w:rPr>
        <w:t xml:space="preserve">Izvršenje: </w:t>
      </w:r>
      <w:r>
        <w:t xml:space="preserve">2.598,00 €    </w:t>
      </w:r>
      <w:r>
        <w:rPr>
          <w:b/>
          <w:bCs/>
        </w:rPr>
        <w:t xml:space="preserve">Indeks: </w:t>
      </w:r>
      <w:r>
        <w:t>0,87 %</w:t>
      </w:r>
    </w:p>
    <w:p w14:paraId="1D793C39">
      <w:pPr>
        <w:spacing w:after="120" w:line="276" w:lineRule="auto"/>
        <w:jc w:val="both"/>
      </w:pPr>
      <w:r>
        <w:t>Program obuhvaća ulaganja u vodoopskrbnu i odvodnu infrastrukturu te je u prvom polugodištu izvršen u iznosu od 2.598,00 €, u okviru kapitalnog projekta K200023 Odvodnja – građevinski objekti. Kapitalni projekti K200020 Vodoopskrba – građevinski objekti, K200010 Vodovod te K200011 Izrada projektno-tehničke dokumentacije kanalizacije središta Šestanovca u prvom polugodištu nisu realizirani. Znatno niža razina izvršenja od plana posljedica je dinamike ishođenja dokumentacije i realizacije radova, pa se najveći dio planiranih ulaganja u vodoopskrbu i odvodnju očekuje u nastavku godine.</w:t>
      </w:r>
    </w:p>
    <w:p w14:paraId="4F08230F">
      <w:pPr>
        <w:spacing w:before="200" w:after="60"/>
      </w:pPr>
      <w:r>
        <w:rPr>
          <w:b/>
          <w:bCs/>
          <w:color w:val="1F4E5F"/>
        </w:rPr>
        <w:t>Program 1009 – Prostorno uređenje i unapređenje stanovanja</w:t>
      </w:r>
    </w:p>
    <w:p w14:paraId="0635D3D0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140.000,00 €    </w:t>
      </w:r>
      <w:r>
        <w:rPr>
          <w:b/>
          <w:bCs/>
        </w:rPr>
        <w:t xml:space="preserve">Izvršenje: </w:t>
      </w:r>
      <w:r>
        <w:t xml:space="preserve">20.907,33 €    </w:t>
      </w:r>
      <w:r>
        <w:rPr>
          <w:b/>
          <w:bCs/>
        </w:rPr>
        <w:t xml:space="preserve">Indeks: </w:t>
      </w:r>
      <w:r>
        <w:t>14,93 %</w:t>
      </w:r>
    </w:p>
    <w:p w14:paraId="5A0B927A">
      <w:pPr>
        <w:spacing w:after="120" w:line="276" w:lineRule="auto"/>
        <w:jc w:val="both"/>
      </w:pPr>
      <w:r>
        <w:t>Program obuhvaća održavanje i rekonstrukciju javne rasvjete te prostorno-plansku dokumentaciju. Kapitalni projekt K200012 Rekonstrukcija javne rasvjete izvršen je u iznosu od 15.196,30 €, a aktivnost A100028 Održavanje javne rasvjete u iznosu od 5.711,03 €. Sredstva planirana za adaptaciju Doma zdravlja – ambulante (K200024) te za Izmjene i dopune PPUO Šestanovac (K200013) u prvom polugodištu nisu utrošena; postupak transformacije prostornog plana provodio se tijekom prvoga polugodišta 2026. godine.</w:t>
      </w:r>
    </w:p>
    <w:p w14:paraId="08FF29D7">
      <w:pPr>
        <w:spacing w:before="200" w:after="60"/>
      </w:pPr>
      <w:r>
        <w:rPr>
          <w:b/>
          <w:bCs/>
          <w:color w:val="1F4E5F"/>
        </w:rPr>
        <w:t>Program 1010 – Zaštita okoliša i životne sredine</w:t>
      </w:r>
    </w:p>
    <w:p w14:paraId="3FF4D693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162.770,00 €    </w:t>
      </w:r>
      <w:r>
        <w:rPr>
          <w:b/>
          <w:bCs/>
        </w:rPr>
        <w:t xml:space="preserve">Izvršenje: </w:t>
      </w:r>
      <w:r>
        <w:t xml:space="preserve">25.741,25 €    </w:t>
      </w:r>
      <w:r>
        <w:rPr>
          <w:b/>
          <w:bCs/>
        </w:rPr>
        <w:t xml:space="preserve">Indeks: </w:t>
      </w:r>
      <w:r>
        <w:t>15,81 %</w:t>
      </w:r>
    </w:p>
    <w:p w14:paraId="2ED8AB75">
      <w:pPr>
        <w:spacing w:after="120" w:line="276" w:lineRule="auto"/>
        <w:jc w:val="both"/>
      </w:pPr>
      <w:r>
        <w:t>Program obuhvaća mjere zaštite okoliša i gospodarenja otpadom. Aktivnost A100030 Održavanje i sanacija deponija izvršena je u iznosu od 12.125,00 €, A100047 Usluge skupljanja napuštenih i izgubljenih životinja u iznosu od 8.025,00 €, a A100031 Naknada za zaštitu okoliša (Karepovac) u iznosu od 4.841,25 €. Za reciklažno dvorište (K300002) utrošeno je 750,00 €. Sredstva planirana za deratizaciju i dezinsekciju (A100029), sufinanciranje rada društava u vlasništvu Općine (A100101), poticajnu naknadu za smanjenje miješanog komunalnog otpada (A100059) te kontejnere i spremnike (K200016) u prvom polugodištu pretežno nisu utrošena.</w:t>
      </w:r>
    </w:p>
    <w:p w14:paraId="49366A1D">
      <w:pPr>
        <w:spacing w:before="200" w:after="60"/>
      </w:pPr>
      <w:r>
        <w:rPr>
          <w:b/>
          <w:bCs/>
          <w:color w:val="1F4E5F"/>
        </w:rPr>
        <w:t>Program 1011 – Potrebe u kulturi</w:t>
      </w:r>
    </w:p>
    <w:p w14:paraId="4791C6BB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144.600,00 €    </w:t>
      </w:r>
      <w:r>
        <w:rPr>
          <w:b/>
          <w:bCs/>
        </w:rPr>
        <w:t xml:space="preserve">Izvršenje: </w:t>
      </w:r>
      <w:r>
        <w:t xml:space="preserve">90.451,10 €    </w:t>
      </w:r>
      <w:r>
        <w:rPr>
          <w:b/>
          <w:bCs/>
        </w:rPr>
        <w:t xml:space="preserve">Indeks: </w:t>
      </w:r>
      <w:r>
        <w:t>62,55 %</w:t>
      </w:r>
    </w:p>
    <w:p w14:paraId="3E81D8DD">
      <w:pPr>
        <w:spacing w:after="120" w:line="276" w:lineRule="auto"/>
        <w:jc w:val="both"/>
      </w:pPr>
      <w:r>
        <w:t>Program obuhvaća potpore u kulturi te obnovu i zaštitu kulturne baštine, a izvršen je u iznosu od 90.451,10 € (62,55 % plana), što je među najviše realiziranim programima u prvom polugodištu. Najznačajniji je kapitalni projekt K200032 Rekonstrukcija Mandušića kule, izvršen u iznosu od 81.414,50 €. Uspješno je završena prva faza radova na rekonstrukciji Kulturno-informativnog centra Mandušića kula, jednog od najvažnijih kulturno-povijesnih objekata na području Općine; ukupna vrijednost izvedenih radova iznosi 81.414,50 €, od čega je 60.000,00 € osigurano sredstvima Splitsko-dalmatinske županije.</w:t>
      </w:r>
    </w:p>
    <w:p w14:paraId="16696377">
      <w:pPr>
        <w:spacing w:after="120" w:line="276" w:lineRule="auto"/>
        <w:jc w:val="both"/>
      </w:pPr>
      <w:r>
        <w:t>Za potpore u kulturi (folklor, mažoretkinje – A100032) utrošeno je 9.036,60 €, čime je podržana provedba tradicionalnih kulturnih manifestacija na području Općine.</w:t>
      </w:r>
    </w:p>
    <w:p w14:paraId="64198327">
      <w:pPr>
        <w:spacing w:before="200" w:after="60"/>
      </w:pPr>
      <w:r>
        <w:rPr>
          <w:b/>
          <w:bCs/>
          <w:color w:val="1F4E5F"/>
        </w:rPr>
        <w:t>Program 1012 – Organizacija rekreacije i športskih aktivnosti</w:t>
      </w:r>
    </w:p>
    <w:p w14:paraId="41C94E7A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45.000,00 €    </w:t>
      </w:r>
      <w:r>
        <w:rPr>
          <w:b/>
          <w:bCs/>
        </w:rPr>
        <w:t xml:space="preserve">Izvršenje: </w:t>
      </w:r>
      <w:r>
        <w:t xml:space="preserve">11.381,00 €    </w:t>
      </w:r>
      <w:r>
        <w:rPr>
          <w:b/>
          <w:bCs/>
        </w:rPr>
        <w:t xml:space="preserve">Indeks: </w:t>
      </w:r>
      <w:r>
        <w:t>25,29 %</w:t>
      </w:r>
    </w:p>
    <w:p w14:paraId="62D479F5">
      <w:pPr>
        <w:spacing w:after="120" w:line="276" w:lineRule="auto"/>
        <w:jc w:val="both"/>
      </w:pPr>
      <w:r>
        <w:t>Program obuhvaća potpore u športu te je izvršen u iznosu od 11.381,00 €. Za potpore u športu – donacije (A100075) utrošeno je 11.381,00 €, čime je podržan rad sportskih udruga i uključivanje djece u sportske aktivnosti. Sredstva planirana za kapitalni projekt K200005 Izgradnja školske športske dvorane u prvom polugodištu nisu utrošena iz Proračuna Općine.</w:t>
      </w:r>
    </w:p>
    <w:p w14:paraId="0C578B77">
      <w:pPr>
        <w:spacing w:before="200" w:after="60"/>
      </w:pPr>
      <w:r>
        <w:rPr>
          <w:b/>
          <w:bCs/>
          <w:color w:val="1F4E5F"/>
        </w:rPr>
        <w:t>Program 1013 – Potpora udrugama i vjerskim zajednicama</w:t>
      </w:r>
    </w:p>
    <w:p w14:paraId="158E1772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61.500,00 €    </w:t>
      </w:r>
      <w:r>
        <w:rPr>
          <w:b/>
          <w:bCs/>
        </w:rPr>
        <w:t xml:space="preserve">Izvršenje: </w:t>
      </w:r>
      <w:r>
        <w:t xml:space="preserve">7.812,00 €    </w:t>
      </w:r>
      <w:r>
        <w:rPr>
          <w:b/>
          <w:bCs/>
        </w:rPr>
        <w:t xml:space="preserve">Indeks: </w:t>
      </w:r>
      <w:r>
        <w:t>12,70 %</w:t>
      </w:r>
    </w:p>
    <w:p w14:paraId="07262145">
      <w:pPr>
        <w:spacing w:after="120" w:line="276" w:lineRule="auto"/>
        <w:jc w:val="both"/>
      </w:pPr>
      <w:r>
        <w:t>Program obuhvaća potpore udrugama i vjerskim zajednicama. Potpora udrugama (A100035) izvršena je u iznosu od 7.212,00 €, a potpora vjerskim zajednicama (A100036) u iznosu od 600,00 €. Sredstva se dodjeljuju temeljem prijava korisnika, u skladu s javnim pozivom za financiranje programa i projekata od interesa za opće dobro koje provode udruge, koji je Općina objavila za 2026. godinu.</w:t>
      </w:r>
    </w:p>
    <w:p w14:paraId="5CD71806">
      <w:pPr>
        <w:spacing w:before="200" w:after="60"/>
      </w:pPr>
      <w:r>
        <w:rPr>
          <w:b/>
          <w:bCs/>
          <w:color w:val="1F4E5F"/>
        </w:rPr>
        <w:t>Program 1014 – Obrazovanje</w:t>
      </w:r>
    </w:p>
    <w:p w14:paraId="42C194B7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384.650,00 €    </w:t>
      </w:r>
      <w:r>
        <w:rPr>
          <w:b/>
          <w:bCs/>
        </w:rPr>
        <w:t xml:space="preserve">Izvršenje: </w:t>
      </w:r>
      <w:r>
        <w:t xml:space="preserve">129.608,34 €    </w:t>
      </w:r>
      <w:r>
        <w:rPr>
          <w:b/>
          <w:bCs/>
        </w:rPr>
        <w:t xml:space="preserve">Indeks: </w:t>
      </w:r>
      <w:r>
        <w:t>33,70 %</w:t>
      </w:r>
    </w:p>
    <w:p w14:paraId="177317F6">
      <w:pPr>
        <w:spacing w:after="120" w:line="276" w:lineRule="auto"/>
        <w:jc w:val="both"/>
      </w:pPr>
      <w:r>
        <w:t>Program obuhvaća mjere u području obrazovanja, uključujući predškolski odgoj te potpore učenicima i studentima, a izvršen je u iznosu od 129.608,34 € (33,70 % plana). Aktivnost A100039 Redovni rad vrtića i male škole izvršena je u iznosu od 75.428,34 €, čime je osigurano funkcioniranje predškolskog odgoja na području Općine. Za stipendije i školarine (A100037) utrošeno je 48.500,00 €, za donacije osnovnom školstvu (A100038) 3.530,00 €, a za nagrade za izniman uspjeh učenicima i studentima (A100061) 2.150,00 €.</w:t>
      </w:r>
    </w:p>
    <w:p w14:paraId="356AE5ED">
      <w:pPr>
        <w:spacing w:after="120" w:line="276" w:lineRule="auto"/>
        <w:jc w:val="both"/>
      </w:pPr>
      <w:r>
        <w:t>Kapitalni projekt K200034 Izrada projektne dokumentacije za vrtić u prvom polugodištu nije realiziran, a njegova se provedba očekuje u nastavku godine, radi pripreme izgradnje dječjeg vrtića.</w:t>
      </w:r>
    </w:p>
    <w:p w14:paraId="6103795B">
      <w:pPr>
        <w:spacing w:before="200" w:after="60"/>
      </w:pPr>
      <w:r>
        <w:rPr>
          <w:b/>
          <w:bCs/>
          <w:color w:val="1F4E5F"/>
        </w:rPr>
        <w:t>Program 1015 – Pomoć obiteljima i kućanstvima</w:t>
      </w:r>
    </w:p>
    <w:p w14:paraId="5D53841B">
      <w:pPr>
        <w:spacing w:after="90" w:line="264" w:lineRule="auto"/>
      </w:pPr>
      <w:r>
        <w:rPr>
          <w:b/>
          <w:bCs/>
        </w:rPr>
        <w:t xml:space="preserve">Tekući plan: </w:t>
      </w:r>
      <w:r>
        <w:t xml:space="preserve">190.875,00 €    </w:t>
      </w:r>
      <w:r>
        <w:rPr>
          <w:b/>
          <w:bCs/>
        </w:rPr>
        <w:t xml:space="preserve">Izvršenje: </w:t>
      </w:r>
      <w:r>
        <w:t xml:space="preserve">38.459,95 €    </w:t>
      </w:r>
      <w:r>
        <w:rPr>
          <w:b/>
          <w:bCs/>
        </w:rPr>
        <w:t xml:space="preserve">Indeks: </w:t>
      </w:r>
      <w:r>
        <w:t>20,15 %</w:t>
      </w:r>
    </w:p>
    <w:p w14:paraId="67FFD6CC">
      <w:pPr>
        <w:spacing w:after="120" w:line="276" w:lineRule="auto"/>
        <w:jc w:val="both"/>
      </w:pPr>
      <w:r>
        <w:t>Program obuhvaća socijalne i demografske mjere Općine, a izvršen je u iznosu od 38.459,95 € (20,15 % plana). Aktivnost A100044 Sufinanciranje cijene prijevoza izvršena je u iznosu od 21.627,07 €, A100042 Naknade za novorođenčad u iznosu od 12.000,00 €, a A100043 Pomoć obiteljima i kućanstvima u iznosu od 4.832,88 €. Sredstva planirana za potporu za unaprjeđenje uvjeta stanovanja mladih obitelji (A100071), vanškolske aktivnosti za djecu (A100081), smještaj policije tijekom turističke sezone (A100041) te komemoracije i obljetnice (A100045) u prvom polugodištu pretežno nisu utrošena.</w:t>
      </w:r>
    </w:p>
    <w:p w14:paraId="5CE04BE4">
      <w:pPr>
        <w:spacing w:before="280" w:after="140"/>
      </w:pPr>
      <w:r>
        <w:rPr>
          <w:b/>
          <w:bCs/>
          <w:color w:val="1F4E5F"/>
          <w:sz w:val="26"/>
          <w:szCs w:val="26"/>
        </w:rPr>
        <w:t>4.  POSEBNI DIJELOVI IZVJEŠTAJA</w:t>
      </w:r>
    </w:p>
    <w:p w14:paraId="23CC465E">
      <w:pPr>
        <w:spacing w:before="220" w:after="120"/>
      </w:pPr>
      <w:r>
        <w:rPr>
          <w:b/>
          <w:bCs/>
          <w:color w:val="1F4E5F"/>
          <w:sz w:val="24"/>
          <w:szCs w:val="24"/>
        </w:rPr>
        <w:t>4.1.  Zaduživanje te dana jamstva i zajmovi</w:t>
      </w:r>
    </w:p>
    <w:p w14:paraId="6EB44422">
      <w:pPr>
        <w:spacing w:after="120" w:line="276" w:lineRule="auto"/>
        <w:jc w:val="both"/>
      </w:pPr>
      <w:r>
        <w:t>U prvom polugodištu 2026. godine Općina Šestanovac nije se dugoročno zaduživala. U Računu financiranja nije bilo primitaka od zaduživanja niti izdataka za otplatu glavnice, a neto zaduživanje iznosi 0,00 €. Financijski rashodi po osnovi kamata i bankarskih usluga iznose 767,62 €. Općina i njezini korisnici u promatranom razdoblju nisu davali jamstva niti su vršili plaćanja po protestiranim jamstvima.</w:t>
      </w:r>
    </w:p>
    <w:p w14:paraId="14A6D134">
      <w:pPr>
        <w:spacing w:before="220" w:after="120"/>
      </w:pPr>
      <w:r>
        <w:rPr>
          <w:b/>
          <w:bCs/>
          <w:color w:val="1F4E5F"/>
          <w:sz w:val="24"/>
          <w:szCs w:val="24"/>
        </w:rPr>
        <w:t>4.2.  Korištenje sredstava fondova Europske unije</w:t>
      </w:r>
    </w:p>
    <w:p w14:paraId="5EB46D50">
      <w:pPr>
        <w:spacing w:after="120" w:line="276" w:lineRule="auto"/>
        <w:jc w:val="both"/>
      </w:pPr>
      <w:r>
        <w:t>Najznačajniji projekt sufinanciran iz sredstava Europske unije u prvom polugodištu 2026. godine je projekt „Zaželi – osiguraj njegu u toplini svog doma“, koji se provodi u okviru Programa Učinkoviti ljudski potencijali 2021.–2027. (Europski socijalni fond plus). Kroz projekt zaposlene su osobe koje pružaju usluge pomoći i podrške u svakodnevnom životu starijim osobama i osobama s invaliditetom, uz mjesečnu podjelu paketa potrepština. Rashodi projekta u prvom polugodištu iskazani su u okviru Programa 1003 – Javni radovi (aktivnost A100079) u iznosu od 181.032,00 €, dok su prihodi iz sredstava EU po toj osnovi ostvareni u iznosu od 189.734,56 €.</w:t>
      </w:r>
    </w:p>
    <w:p w14:paraId="4AD28375">
      <w:pPr>
        <w:spacing w:after="120" w:line="276" w:lineRule="auto"/>
        <w:jc w:val="both"/>
      </w:pPr>
      <w:r>
        <w:t>Uz navedeno, tijekom prvoga polugodišta nastavljena je provedba i priprema projekata financiranih iz namjenskih sredstava viših razina vlasti, među kojima se ističe rekonstrukcija Kulturno-informativnog centra Mandušića kula, sufinancirana sredstvima Splitsko-dalmatinske županije. Podaci se iskazuju primjenom modificiranog načela nastanka događaja u proračunskom računovodstvu.</w:t>
      </w:r>
    </w:p>
    <w:p w14:paraId="090A00D7">
      <w:pPr>
        <w:spacing w:before="220" w:after="120"/>
      </w:pPr>
      <w:r>
        <w:rPr>
          <w:b/>
          <w:bCs/>
          <w:color w:val="1F4E5F"/>
          <w:sz w:val="24"/>
          <w:szCs w:val="24"/>
        </w:rPr>
        <w:t>4.3.  Zaključak</w:t>
      </w:r>
    </w:p>
    <w:p w14:paraId="5FCEE9B5">
      <w:pPr>
        <w:spacing w:after="120" w:line="276" w:lineRule="auto"/>
        <w:jc w:val="both"/>
      </w:pPr>
      <w:r>
        <w:t>Proračun Općine Šestanovac za prvo polugodište 2026. godine izvršen je u skladu s propisima i u okvirima raspoloživih sredstava. Ukupni prihodi ostvareni su u iznosu od 1.004.721,27 €, a ukupni rashodi u iznosu od 890.054,28 €, čime je ostvaren višak prihoda nad rashodima u iznosu od 114.666,99 €. Zajedno s prenesenim viškom iz prethodne godine, ukupan višak za prijenos i raspoređivanje iznosi 885.820,94 €.</w:t>
      </w:r>
    </w:p>
    <w:p w14:paraId="1FE8A809">
      <w:pPr>
        <w:spacing w:after="120" w:line="276" w:lineRule="auto"/>
        <w:jc w:val="both"/>
      </w:pPr>
      <w:r>
        <w:t>Redovni rashodi za zaposlene i materijalni rashodi za funkcioniranje Općine te programi socijalne skrbi, obrazovanja i održavanja komunalne infrastrukture izvršavali su se redovno. Niža razina izvršenja kapitalnih projekata u odnosu na godišnji plan odgovara činjenici da se izvještaj odnosi na prvo polugodište te je prvenstveno posljedica dinamike postupaka javne nabave, ishođenja dokumentacije i priljeva namjenskih sredstava, pa se najveći dio kapitalnih ulaganja očekuje u drugoj polovici 2026. godine.</w:t>
      </w:r>
    </w:p>
    <w:p w14:paraId="3B832E99">
      <w:pPr>
        <w:spacing w:before="400" w:after="40"/>
      </w:pPr>
      <w:r>
        <w:rPr>
          <w:b/>
          <w:bCs/>
        </w:rPr>
        <w:t>OPĆINA ŠESTANOVAC</w:t>
      </w:r>
    </w:p>
    <w:p w14:paraId="329F6871">
      <w:pPr>
        <w:spacing w:after="200"/>
      </w:pPr>
      <w:r>
        <w:t>OPĆINSKO VIJEĆE</w:t>
      </w:r>
    </w:p>
    <w:p w14:paraId="28768E1F">
      <w:pPr>
        <w:spacing w:after="30"/>
        <w:rPr>
          <w:rFonts w:hint="default"/>
          <w:lang w:val="hr-HR"/>
        </w:rPr>
      </w:pPr>
      <w:r>
        <w:t xml:space="preserve">KLASA: </w:t>
      </w:r>
      <w:r>
        <w:rPr>
          <w:rFonts w:hint="default"/>
          <w:lang w:val="hr-HR"/>
        </w:rPr>
        <w:t>024-03/26-01/05</w:t>
      </w:r>
    </w:p>
    <w:p w14:paraId="6736F148">
      <w:pPr>
        <w:spacing w:after="30"/>
        <w:rPr>
          <w:rFonts w:hint="default"/>
          <w:lang w:val="hr-HR"/>
        </w:rPr>
      </w:pPr>
      <w:r>
        <w:t xml:space="preserve">URBROJ: </w:t>
      </w:r>
      <w:r>
        <w:rPr>
          <w:rFonts w:hint="default"/>
          <w:lang w:val="hr-HR"/>
        </w:rPr>
        <w:t>2181-48-26-01-08</w:t>
      </w:r>
      <w:bookmarkStart w:id="0" w:name="_GoBack"/>
      <w:bookmarkEnd w:id="0"/>
    </w:p>
    <w:p w14:paraId="41D355EF">
      <w:pPr>
        <w:spacing w:after="300"/>
      </w:pPr>
      <w:r>
        <w:t>Šestanovac, 20. srpnja 2026.</w:t>
      </w:r>
    </w:p>
    <w:p w14:paraId="6394988D">
      <w:pPr>
        <w:spacing w:before="200" w:after="120"/>
        <w:jc w:val="right"/>
      </w:pPr>
      <w:r>
        <w:t>Predsjednik Općinskog vijeća</w:t>
      </w:r>
    </w:p>
    <w:p w14:paraId="56AD342F">
      <w:pPr>
        <w:spacing w:after="40"/>
        <w:jc w:val="right"/>
      </w:pPr>
      <w:r>
        <w:t>Hrvoje Balić</w:t>
      </w:r>
    </w:p>
    <w:p w14:paraId="4DB7DC8B">
      <w:pPr>
        <w:jc w:val="right"/>
      </w:pPr>
      <w:r>
        <w:t>_______________________</w:t>
      </w:r>
    </w:p>
    <w:p w14:paraId="320ED875">
      <w:pPr>
        <w:pStyle w:val="17"/>
        <w:spacing w:after="70" w:line="264" w:lineRule="auto"/>
        <w:ind w:left="720"/>
        <w:jc w:val="both"/>
      </w:pPr>
    </w:p>
    <w:sectPr>
      <w:pgSz w:w="11906" w:h="16838"/>
      <w:pgMar w:top="1000" w:right="1100" w:bottom="1000" w:left="11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46"/>
    <w:rsid w:val="00361538"/>
    <w:rsid w:val="004D465F"/>
    <w:rsid w:val="00576C8F"/>
    <w:rsid w:val="006F7B88"/>
    <w:rsid w:val="007C4B1D"/>
    <w:rsid w:val="0091193E"/>
    <w:rsid w:val="0093584C"/>
    <w:rsid w:val="00C23E24"/>
    <w:rsid w:val="00C402D4"/>
    <w:rsid w:val="00C71D46"/>
    <w:rsid w:val="00E70CB4"/>
    <w:rsid w:val="00F42AEE"/>
    <w:rsid w:val="166A5654"/>
    <w:rsid w:val="1EAB48DF"/>
    <w:rsid w:val="1FC3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Arial" w:cs="Arial"/>
      <w:sz w:val="22"/>
      <w:szCs w:val="22"/>
      <w:lang w:val="hr-HR" w:eastAsia="hr-HR" w:bidi="ar-SA"/>
    </w:rPr>
  </w:style>
  <w:style w:type="paragraph" w:styleId="2">
    <w:name w:val="heading 1"/>
    <w:qFormat/>
    <w:uiPriority w:val="9"/>
    <w:pPr>
      <w:outlineLvl w:val="0"/>
    </w:pPr>
    <w:rPr>
      <w:rFonts w:ascii="Arial" w:hAnsi="Arial" w:eastAsia="Arial" w:cs="Arial"/>
      <w:color w:val="2E74B5"/>
      <w:sz w:val="32"/>
      <w:szCs w:val="32"/>
      <w:lang w:val="hr-HR" w:eastAsia="hr-HR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Arial" w:hAnsi="Arial" w:eastAsia="Arial" w:cs="Arial"/>
      <w:color w:val="2E74B5"/>
      <w:sz w:val="26"/>
      <w:szCs w:val="26"/>
      <w:lang w:val="hr-HR" w:eastAsia="hr-HR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Arial" w:hAnsi="Arial" w:eastAsia="Arial" w:cs="Arial"/>
      <w:color w:val="1F4D78"/>
      <w:sz w:val="24"/>
      <w:szCs w:val="24"/>
      <w:lang w:val="hr-HR" w:eastAsia="hr-HR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Arial" w:hAnsi="Arial" w:eastAsia="Arial" w:cs="Arial"/>
      <w:i/>
      <w:iCs/>
      <w:color w:val="2E74B5"/>
      <w:sz w:val="22"/>
      <w:szCs w:val="22"/>
      <w:lang w:val="hr-HR" w:eastAsia="hr-HR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Arial" w:hAnsi="Arial" w:eastAsia="Arial" w:cs="Arial"/>
      <w:color w:val="2E74B5"/>
      <w:sz w:val="22"/>
      <w:szCs w:val="22"/>
      <w:lang w:val="hr-HR" w:eastAsia="hr-HR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Arial" w:hAnsi="Arial" w:eastAsia="Arial" w:cs="Arial"/>
      <w:color w:val="1F4D78"/>
      <w:sz w:val="22"/>
      <w:szCs w:val="22"/>
      <w:lang w:val="hr-HR" w:eastAsia="hr-HR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9"/>
    <w:semiHidden/>
    <w:unhideWhenUsed/>
    <w:qFormat/>
    <w:uiPriority w:val="99"/>
    <w:rPr>
      <w:rFonts w:ascii="Arial" w:hAnsi="Arial" w:eastAsia="Arial" w:cs="Arial"/>
      <w:sz w:val="20"/>
      <w:szCs w:val="20"/>
      <w:lang w:val="hr-HR" w:eastAsia="hr-HR" w:bidi="ar-SA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8"/>
    <w:semiHidden/>
    <w:unhideWhenUsed/>
    <w:qFormat/>
    <w:uiPriority w:val="99"/>
    <w:rPr>
      <w:rFonts w:ascii="Arial" w:hAnsi="Arial" w:eastAsia="Arial" w:cs="Arial"/>
      <w:sz w:val="20"/>
      <w:szCs w:val="20"/>
      <w:lang w:val="hr-HR" w:eastAsia="hr-HR" w:bidi="ar-SA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10"/>
    <w:rPr>
      <w:rFonts w:ascii="Arial" w:hAnsi="Arial" w:eastAsia="Arial" w:cs="Arial"/>
      <w:sz w:val="56"/>
      <w:szCs w:val="56"/>
      <w:lang w:val="hr-HR" w:eastAsia="hr-HR" w:bidi="ar-SA"/>
    </w:rPr>
  </w:style>
  <w:style w:type="paragraph" w:customStyle="1" w:styleId="16">
    <w:name w:val="Naglašeno1"/>
    <w:qFormat/>
    <w:uiPriority w:val="0"/>
    <w:rPr>
      <w:rFonts w:ascii="Arial" w:hAnsi="Arial" w:eastAsia="Arial" w:cs="Arial"/>
      <w:b/>
      <w:bCs/>
      <w:sz w:val="22"/>
      <w:szCs w:val="22"/>
      <w:lang w:val="hr-HR" w:eastAsia="hr-HR" w:bidi="ar-SA"/>
    </w:rPr>
  </w:style>
  <w:style w:type="paragraph" w:styleId="17">
    <w:name w:val="List Paragraph"/>
    <w:qFormat/>
    <w:uiPriority w:val="0"/>
    <w:rPr>
      <w:rFonts w:ascii="Arial" w:hAnsi="Arial" w:eastAsia="Arial" w:cs="Arial"/>
      <w:sz w:val="22"/>
      <w:szCs w:val="22"/>
      <w:lang w:val="hr-HR" w:eastAsia="hr-HR" w:bidi="ar-SA"/>
    </w:rPr>
  </w:style>
  <w:style w:type="character" w:customStyle="1" w:styleId="18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4070</Words>
  <Characters>24459</Characters>
  <Lines>203</Lines>
  <Paragraphs>57</Paragraphs>
  <TotalTime>22</TotalTime>
  <ScaleCrop>false</ScaleCrop>
  <LinksUpToDate>false</LinksUpToDate>
  <CharactersWithSpaces>28359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2026-07-16T16:54:00Z</dcterms:created>
  <dc:creator>Un-named</dc:creator>
  <cp:lastModifiedBy>andjela ivandic</cp:lastModifiedBy>
  <dcterms:modified xsi:type="dcterms:W3CDTF">2026-10-01T08:23:32Z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eyJoZGlkIjoiMWE2YWFiMWNiOGVmOGVjZjU0NzZjMjM4ODY3MjMxODIiLCJ1c2VySWQiOiIzNzI4MTU4NzgwMjE5In0=</vt:lpwstr>
  </property>
  <property fmtid="{D5CDD505-2E9C-101B-9397-08002B2CF9AE}" pid="3" name="KSOProductBuildVer">
    <vt:lpwstr>1033-12.1.0.28485</vt:lpwstr>
  </property>
  <property fmtid="{D5CDD505-2E9C-101B-9397-08002B2CF9AE}" pid="4" name="ICV">
    <vt:lpwstr>34905162BF8C4AE38809174195FBE8C1_13</vt:lpwstr>
  </property>
</Properties>
</file>